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DB543B" w14:textId="77777777" w:rsidR="001418C2" w:rsidRDefault="00F76671">
      <w:pPr>
        <w:pStyle w:val="Cover-Title"/>
      </w:pPr>
      <w:r>
        <w:t>PPL Standard Condition 18 Notification Form</w:t>
      </w:r>
    </w:p>
    <w:p w14:paraId="013B168E" w14:textId="77777777" w:rsidR="001418C2" w:rsidRDefault="00F76671">
      <w:pPr>
        <w:pStyle w:val="Cover-othertext"/>
      </w:pPr>
      <w:r>
        <w:rPr>
          <w:noProof/>
        </w:rPr>
        <w:drawing>
          <wp:anchor distT="0" distB="0" distL="114300" distR="114300" simplePos="0" relativeHeight="251658240" behindDoc="0" locked="0" layoutInCell="1" allowOverlap="1" wp14:anchorId="5AD206F9" wp14:editId="4662547A">
            <wp:simplePos x="0" y="0"/>
            <wp:positionH relativeFrom="page">
              <wp:posOffset>720090</wp:posOffset>
            </wp:positionH>
            <wp:positionV relativeFrom="page">
              <wp:posOffset>540382</wp:posOffset>
            </wp:positionV>
            <wp:extent cx="1908179" cy="824231"/>
            <wp:effectExtent l="0" t="0" r="0" b="1269"/>
            <wp:wrapTopAndBottom/>
            <wp:docPr id="1" name="Picture 2" descr="Home Offi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1908179" cy="824231"/>
                    </a:xfrm>
                    <a:prstGeom prst="rect">
                      <a:avLst/>
                    </a:prstGeom>
                    <a:noFill/>
                    <a:ln>
                      <a:noFill/>
                      <a:prstDash/>
                    </a:ln>
                  </pic:spPr>
                </pic:pic>
              </a:graphicData>
            </a:graphic>
          </wp:anchor>
        </w:drawing>
      </w:r>
      <w:bookmarkStart w:id="0" w:name="_Toc402366357"/>
      <w:bookmarkStart w:id="1" w:name="_Toc457556688"/>
      <w:bookmarkStart w:id="2" w:name="_Toc460840415"/>
    </w:p>
    <w:bookmarkEnd w:id="0"/>
    <w:bookmarkEnd w:id="1"/>
    <w:bookmarkEnd w:id="2"/>
    <w:p w14:paraId="52DD0520" w14:textId="77777777" w:rsidR="001418C2" w:rsidRDefault="00F76671">
      <w:pPr>
        <w:spacing w:line="276" w:lineRule="auto"/>
        <w:rPr>
          <w:rFonts w:eastAsia="Calibri" w:cs="Arial"/>
          <w:lang w:eastAsia="en-US"/>
        </w:rPr>
      </w:pPr>
      <w:r>
        <w:rPr>
          <w:rFonts w:eastAsia="Calibri" w:cs="Arial"/>
          <w:lang w:eastAsia="en-US"/>
        </w:rPr>
        <w:t xml:space="preserve">Please use this form to notify the Animals in Science Regulation Unit (ASRU) of procedural-related adverse effects that have exceeded or are likely to exceed the severity limitations or controls </w:t>
      </w:r>
      <w:r>
        <w:rPr>
          <w:rFonts w:eastAsia="Calibri" w:cs="Arial"/>
          <w:lang w:eastAsia="en-US"/>
        </w:rPr>
        <w:t>described in the project licence. ASRU will use this information to determine whether any further action is required.</w:t>
      </w:r>
    </w:p>
    <w:p w14:paraId="041A77AB" w14:textId="77777777" w:rsidR="001418C2" w:rsidRDefault="001418C2">
      <w:pPr>
        <w:spacing w:line="276" w:lineRule="auto"/>
        <w:rPr>
          <w:rFonts w:eastAsia="Calibri" w:cs="Arial"/>
          <w:lang w:eastAsia="en-US"/>
        </w:rPr>
      </w:pPr>
    </w:p>
    <w:p w14:paraId="066D8E4D" w14:textId="77777777" w:rsidR="001418C2" w:rsidRDefault="00F76671">
      <w:pPr>
        <w:spacing w:line="276" w:lineRule="auto"/>
        <w:rPr>
          <w:rFonts w:eastAsia="Calibri" w:cs="Arial"/>
          <w:lang w:eastAsia="en-US"/>
        </w:rPr>
      </w:pPr>
      <w:r>
        <w:rPr>
          <w:rFonts w:eastAsia="Calibri" w:cs="Arial"/>
          <w:lang w:eastAsia="en-US"/>
        </w:rPr>
        <w:t>Do not use to report:</w:t>
      </w:r>
    </w:p>
    <w:p w14:paraId="33F8D5C6" w14:textId="77777777" w:rsidR="001418C2" w:rsidRDefault="00F76671">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 xml:space="preserve">adverse effects that are due to non-procedural </w:t>
      </w:r>
      <w:proofErr w:type="gramStart"/>
      <w:r>
        <w:rPr>
          <w:rFonts w:ascii="Arial" w:eastAsia="Calibri" w:hAnsi="Arial" w:cs="Arial"/>
          <w:lang w:eastAsia="en-US"/>
        </w:rPr>
        <w:t>issues;</w:t>
      </w:r>
      <w:proofErr w:type="gramEnd"/>
    </w:p>
    <w:p w14:paraId="6C2DD070" w14:textId="77777777" w:rsidR="001418C2" w:rsidRDefault="00F76671">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potential non-compliance (report by other means</w:t>
      </w:r>
      <w:proofErr w:type="gramStart"/>
      <w:r>
        <w:rPr>
          <w:rFonts w:ascii="Arial" w:eastAsia="Calibri" w:hAnsi="Arial" w:cs="Arial"/>
          <w:lang w:eastAsia="en-US"/>
        </w:rPr>
        <w:t>);</w:t>
      </w:r>
      <w:proofErr w:type="gramEnd"/>
    </w:p>
    <w:p w14:paraId="34A24BC7" w14:textId="77777777" w:rsidR="001418C2" w:rsidRDefault="00F76671">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issues wit</w:t>
      </w:r>
      <w:r>
        <w:rPr>
          <w:rFonts w:ascii="Arial" w:eastAsia="Calibri" w:hAnsi="Arial" w:cs="Arial"/>
          <w:lang w:eastAsia="en-US"/>
        </w:rPr>
        <w:t>hout adverse welfare consequences.</w:t>
      </w:r>
    </w:p>
    <w:p w14:paraId="5141EB22" w14:textId="77777777" w:rsidR="001418C2" w:rsidRDefault="001418C2">
      <w:pPr>
        <w:spacing w:line="276" w:lineRule="auto"/>
        <w:ind w:left="360"/>
        <w:rPr>
          <w:rFonts w:eastAsia="Calibri" w:cs="Arial"/>
          <w:lang w:eastAsia="en-US"/>
        </w:rPr>
      </w:pPr>
    </w:p>
    <w:p w14:paraId="68E64905" w14:textId="77777777" w:rsidR="001418C2" w:rsidRDefault="00F76671">
      <w:pPr>
        <w:spacing w:line="276" w:lineRule="auto"/>
        <w:rPr>
          <w:rFonts w:eastAsia="Calibri" w:cs="Arial"/>
          <w:lang w:eastAsia="en-US"/>
        </w:rPr>
      </w:pPr>
      <w:r>
        <w:rPr>
          <w:rFonts w:eastAsia="Calibri" w:cs="Arial"/>
          <w:lang w:eastAsia="en-US"/>
        </w:rPr>
        <w:t xml:space="preserve">If you are in doubt </w:t>
      </w:r>
      <w:proofErr w:type="gramStart"/>
      <w:r>
        <w:rPr>
          <w:rFonts w:eastAsia="Calibri" w:cs="Arial"/>
          <w:lang w:eastAsia="en-US"/>
        </w:rPr>
        <w:t>whether or not</w:t>
      </w:r>
      <w:proofErr w:type="gramEnd"/>
      <w:r>
        <w:rPr>
          <w:rFonts w:eastAsia="Calibri" w:cs="Arial"/>
          <w:lang w:eastAsia="en-US"/>
        </w:rPr>
        <w:t xml:space="preserve"> you need to fill in this form, please contact your assigned Inspector.</w:t>
      </w:r>
    </w:p>
    <w:p w14:paraId="658C4491" w14:textId="77777777" w:rsidR="001418C2" w:rsidRDefault="001418C2">
      <w:pPr>
        <w:spacing w:line="276" w:lineRule="auto"/>
        <w:rPr>
          <w:rFonts w:eastAsia="Calibri" w:cs="Arial"/>
          <w:b/>
          <w:color w:val="C0504D"/>
          <w:lang w:eastAsia="en-US"/>
        </w:rPr>
      </w:pPr>
    </w:p>
    <w:p w14:paraId="512F6343" w14:textId="77777777" w:rsidR="001418C2" w:rsidRDefault="00F76671">
      <w:pPr>
        <w:spacing w:line="276" w:lineRule="auto"/>
      </w:pPr>
      <w:r>
        <w:rPr>
          <w:rFonts w:cs="Arial"/>
        </w:rPr>
        <w:t xml:space="preserve">Please clearly title your document: </w:t>
      </w:r>
      <w:r>
        <w:rPr>
          <w:rFonts w:cs="Arial"/>
          <w:b/>
        </w:rPr>
        <w:t>‘</w:t>
      </w:r>
      <w:proofErr w:type="spellStart"/>
      <w:r>
        <w:rPr>
          <w:rFonts w:cs="Arial"/>
          <w:b/>
        </w:rPr>
        <w:t>ASRU_establishment</w:t>
      </w:r>
      <w:proofErr w:type="spellEnd"/>
      <w:r>
        <w:rPr>
          <w:rFonts w:cs="Arial"/>
          <w:b/>
        </w:rPr>
        <w:t xml:space="preserve"> </w:t>
      </w:r>
      <w:proofErr w:type="spellStart"/>
      <w:r>
        <w:rPr>
          <w:rFonts w:cs="Arial"/>
          <w:b/>
        </w:rPr>
        <w:t>name_PPL</w:t>
      </w:r>
      <w:proofErr w:type="spellEnd"/>
      <w:r>
        <w:rPr>
          <w:rFonts w:cs="Arial"/>
          <w:b/>
        </w:rPr>
        <w:t xml:space="preserve"> </w:t>
      </w:r>
      <w:proofErr w:type="spellStart"/>
      <w:r>
        <w:rPr>
          <w:rFonts w:cs="Arial"/>
          <w:b/>
        </w:rPr>
        <w:t>number_PPLh</w:t>
      </w:r>
      <w:proofErr w:type="spellEnd"/>
      <w:r>
        <w:rPr>
          <w:rFonts w:cs="Arial"/>
          <w:b/>
        </w:rPr>
        <w:t xml:space="preserve"> surname_date_sc18’ </w:t>
      </w:r>
      <w:r>
        <w:rPr>
          <w:rFonts w:cs="Arial"/>
        </w:rPr>
        <w:t xml:space="preserve">and send to your </w:t>
      </w:r>
      <w:r>
        <w:rPr>
          <w:rFonts w:cs="Arial"/>
        </w:rPr>
        <w:t>Inspector (</w:t>
      </w:r>
      <w:proofErr w:type="gramStart"/>
      <w:r>
        <w:rPr>
          <w:rFonts w:cs="Arial"/>
        </w:rPr>
        <w:t>e.g.</w:t>
      </w:r>
      <w:proofErr w:type="gramEnd"/>
      <w:r>
        <w:rPr>
          <w:rFonts w:cs="Arial"/>
        </w:rPr>
        <w:t xml:space="preserve"> using </w:t>
      </w:r>
      <w:proofErr w:type="spellStart"/>
      <w:r>
        <w:rPr>
          <w:rFonts w:cs="Arial"/>
        </w:rPr>
        <w:t>cjsm</w:t>
      </w:r>
      <w:proofErr w:type="spellEnd"/>
      <w:r>
        <w:rPr>
          <w:rFonts w:cs="Arial"/>
        </w:rPr>
        <w:t>) with the subject heading ‘PPL SC 18 Notification PPL [Number]</w:t>
      </w:r>
    </w:p>
    <w:p w14:paraId="21FFF375" w14:textId="77777777" w:rsidR="001418C2" w:rsidRDefault="001418C2">
      <w:pPr>
        <w:jc w:val="center"/>
        <w:rPr>
          <w:rFonts w:cs="Arial"/>
        </w:rPr>
      </w:pPr>
    </w:p>
    <w:tbl>
      <w:tblPr>
        <w:tblW w:w="9719" w:type="dxa"/>
        <w:tblInd w:w="57" w:type="dxa"/>
        <w:tblLayout w:type="fixed"/>
        <w:tblCellMar>
          <w:left w:w="10" w:type="dxa"/>
          <w:right w:w="10" w:type="dxa"/>
        </w:tblCellMar>
        <w:tblLook w:val="0000" w:firstRow="0" w:lastRow="0" w:firstColumn="0" w:lastColumn="0" w:noHBand="0" w:noVBand="0"/>
      </w:tblPr>
      <w:tblGrid>
        <w:gridCol w:w="3402"/>
        <w:gridCol w:w="6317"/>
      </w:tblGrid>
      <w:tr w:rsidR="001418C2" w14:paraId="03B934C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32B9B7A" w14:textId="77777777" w:rsidR="001418C2" w:rsidRDefault="00F76671">
            <w:pPr>
              <w:pStyle w:val="BodyText"/>
              <w:spacing w:after="0"/>
              <w:rPr>
                <w:b/>
              </w:rPr>
            </w:pPr>
            <w:r>
              <w:rPr>
                <w:b/>
              </w:rPr>
              <w:t>Establishment Licence name</w:t>
            </w:r>
          </w:p>
        </w:tc>
        <w:tc>
          <w:tcPr>
            <w:tcW w:w="631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AF89E90" w14:textId="77777777" w:rsidR="001418C2" w:rsidRDefault="00F76671">
            <w:pPr>
              <w:pStyle w:val="NormalWeb"/>
              <w:shd w:val="clear" w:color="auto" w:fill="FFFFFF"/>
            </w:pPr>
            <w:r>
              <w:rPr>
                <w:rFonts w:ascii="Arial" w:hAnsi="Arial" w:cs="Arial"/>
                <w:b/>
                <w:bCs/>
                <w:color w:val="212121"/>
              </w:rPr>
              <w:t xml:space="preserve">University of Cambridge </w:t>
            </w:r>
          </w:p>
          <w:p w14:paraId="5EE7F545" w14:textId="77777777" w:rsidR="001418C2" w:rsidRDefault="001418C2">
            <w:pPr>
              <w:pStyle w:val="BodyText"/>
              <w:spacing w:after="0"/>
              <w:rPr>
                <w:rFonts w:cs="Arial"/>
              </w:rPr>
            </w:pPr>
          </w:p>
        </w:tc>
      </w:tr>
      <w:tr w:rsidR="001418C2" w14:paraId="1A7D3D00"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3299E09" w14:textId="77777777" w:rsidR="001418C2" w:rsidRDefault="00F76671">
            <w:pPr>
              <w:pStyle w:val="BodyText"/>
              <w:spacing w:after="0"/>
            </w:pPr>
            <w:r>
              <w:rPr>
                <w:b/>
              </w:rPr>
              <w:t>Establishment Licence number</w:t>
            </w:r>
          </w:p>
        </w:tc>
        <w:tc>
          <w:tcPr>
            <w:tcW w:w="631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EA0BBE1" w14:textId="77777777" w:rsidR="001418C2" w:rsidRDefault="00F76671">
            <w:pPr>
              <w:pStyle w:val="NormalWeb"/>
              <w:shd w:val="clear" w:color="auto" w:fill="FFFFFF"/>
            </w:pPr>
            <w:r>
              <w:rPr>
                <w:rFonts w:ascii="Arial" w:hAnsi="Arial" w:cs="Arial"/>
                <w:b/>
                <w:bCs/>
                <w:color w:val="212121"/>
              </w:rPr>
              <w:t xml:space="preserve">X81BD37B1 </w:t>
            </w:r>
          </w:p>
          <w:p w14:paraId="17545CEA" w14:textId="77777777" w:rsidR="001418C2" w:rsidRDefault="001418C2">
            <w:pPr>
              <w:pStyle w:val="BodyText"/>
              <w:spacing w:after="0"/>
              <w:rPr>
                <w:rFonts w:cs="Arial"/>
              </w:rPr>
            </w:pPr>
          </w:p>
        </w:tc>
      </w:tr>
      <w:tr w:rsidR="001418C2" w14:paraId="157C5FE3"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199E11F" w14:textId="77777777" w:rsidR="001418C2" w:rsidRDefault="00F76671">
            <w:pPr>
              <w:pStyle w:val="BodyText"/>
              <w:spacing w:after="0"/>
            </w:pPr>
            <w:r>
              <w:rPr>
                <w:b/>
              </w:rPr>
              <w:t>Name of PPL holder</w:t>
            </w:r>
          </w:p>
        </w:tc>
        <w:tc>
          <w:tcPr>
            <w:tcW w:w="631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75E3DFA" w14:textId="77777777" w:rsidR="001418C2" w:rsidRDefault="00F76671">
            <w:pPr>
              <w:pStyle w:val="BodyText"/>
              <w:spacing w:after="0"/>
              <w:rPr>
                <w:rFonts w:cs="Arial"/>
                <w:b/>
                <w:bCs/>
              </w:rPr>
            </w:pPr>
            <w:r>
              <w:rPr>
                <w:rFonts w:cs="Arial"/>
                <w:b/>
                <w:bCs/>
              </w:rPr>
              <w:t>Wolfram Schultz</w:t>
            </w:r>
          </w:p>
        </w:tc>
      </w:tr>
      <w:tr w:rsidR="001418C2" w14:paraId="4466DE26"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F77468E" w14:textId="77777777" w:rsidR="001418C2" w:rsidRDefault="00F76671">
            <w:pPr>
              <w:pStyle w:val="BodyText"/>
              <w:spacing w:after="0"/>
            </w:pPr>
            <w:r>
              <w:rPr>
                <w:b/>
              </w:rPr>
              <w:t>PPL number</w:t>
            </w:r>
          </w:p>
        </w:tc>
        <w:tc>
          <w:tcPr>
            <w:tcW w:w="631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DDA8D2C" w14:textId="77777777" w:rsidR="001418C2" w:rsidRDefault="00F76671">
            <w:pPr>
              <w:pStyle w:val="NormalWeb"/>
              <w:shd w:val="clear" w:color="auto" w:fill="FFFFFF"/>
            </w:pPr>
            <w:r>
              <w:rPr>
                <w:rFonts w:ascii="Arial" w:hAnsi="Arial" w:cs="Arial"/>
                <w:b/>
                <w:bCs/>
                <w:color w:val="212121"/>
              </w:rPr>
              <w:t xml:space="preserve">PB01A836C </w:t>
            </w:r>
          </w:p>
        </w:tc>
      </w:tr>
      <w:tr w:rsidR="001418C2" w14:paraId="64BF049D"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96539BD" w14:textId="77777777" w:rsidR="001418C2" w:rsidRDefault="00F76671">
            <w:pPr>
              <w:pStyle w:val="BodyText"/>
              <w:spacing w:after="0"/>
            </w:pPr>
            <w:r>
              <w:rPr>
                <w:b/>
              </w:rPr>
              <w:t>Protocol no</w:t>
            </w:r>
          </w:p>
        </w:tc>
        <w:tc>
          <w:tcPr>
            <w:tcW w:w="631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B64CAA5" w14:textId="77777777" w:rsidR="001418C2" w:rsidRDefault="00F76671">
            <w:pPr>
              <w:pStyle w:val="BodyText"/>
              <w:spacing w:after="0"/>
              <w:rPr>
                <w:rFonts w:cs="Arial"/>
                <w:b/>
                <w:bCs/>
              </w:rPr>
            </w:pPr>
            <w:r>
              <w:rPr>
                <w:rFonts w:cs="Arial"/>
                <w:b/>
                <w:bCs/>
              </w:rPr>
              <w:t>1</w:t>
            </w:r>
          </w:p>
        </w:tc>
      </w:tr>
      <w:tr w:rsidR="001418C2" w14:paraId="6D10BA8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F20F1CD" w14:textId="77777777" w:rsidR="001418C2" w:rsidRDefault="00F76671">
            <w:pPr>
              <w:pStyle w:val="BodyText"/>
              <w:spacing w:after="0"/>
              <w:rPr>
                <w:b/>
              </w:rPr>
            </w:pPr>
            <w:r>
              <w:rPr>
                <w:b/>
              </w:rPr>
              <w:t>Protocol title</w:t>
            </w:r>
          </w:p>
        </w:tc>
        <w:tc>
          <w:tcPr>
            <w:tcW w:w="631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DE8F520" w14:textId="77777777" w:rsidR="001418C2" w:rsidRDefault="00F76671">
            <w:pPr>
              <w:pStyle w:val="NormalWeb"/>
              <w:shd w:val="clear" w:color="auto" w:fill="FFFFFF"/>
            </w:pPr>
            <w:r>
              <w:rPr>
                <w:rFonts w:ascii="Arial" w:hAnsi="Arial" w:cs="Arial"/>
                <w:b/>
                <w:bCs/>
                <w:color w:val="212121"/>
              </w:rPr>
              <w:t xml:space="preserve">Behavioural training, surgical </w:t>
            </w:r>
            <w:proofErr w:type="gramStart"/>
            <w:r>
              <w:rPr>
                <w:rFonts w:ascii="Arial" w:hAnsi="Arial" w:cs="Arial"/>
                <w:b/>
                <w:bCs/>
                <w:color w:val="212121"/>
              </w:rPr>
              <w:t>preparation</w:t>
            </w:r>
            <w:proofErr w:type="gramEnd"/>
            <w:r>
              <w:rPr>
                <w:rFonts w:ascii="Arial" w:hAnsi="Arial" w:cs="Arial"/>
                <w:b/>
                <w:bCs/>
                <w:color w:val="212121"/>
              </w:rPr>
              <w:t xml:space="preserve"> and data acquisition</w:t>
            </w:r>
          </w:p>
        </w:tc>
      </w:tr>
      <w:tr w:rsidR="001418C2" w14:paraId="23CFB407"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5D15252" w14:textId="77777777" w:rsidR="001418C2" w:rsidRDefault="00F76671">
            <w:pPr>
              <w:pStyle w:val="BodyText"/>
              <w:spacing w:after="0"/>
              <w:rPr>
                <w:b/>
              </w:rPr>
            </w:pPr>
            <w:r>
              <w:rPr>
                <w:b/>
              </w:rPr>
              <w:t>Severity classification</w:t>
            </w:r>
          </w:p>
        </w:tc>
        <w:tc>
          <w:tcPr>
            <w:tcW w:w="631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A4FD5F4" w14:textId="77777777" w:rsidR="001418C2" w:rsidRDefault="00F76671">
            <w:pPr>
              <w:pStyle w:val="BodyText"/>
              <w:spacing w:after="0"/>
              <w:rPr>
                <w:rFonts w:cs="Arial"/>
                <w:b/>
                <w:bCs/>
              </w:rPr>
            </w:pPr>
            <w:r>
              <w:rPr>
                <w:rFonts w:cs="Arial"/>
                <w:b/>
                <w:bCs/>
              </w:rPr>
              <w:t>Severe</w:t>
            </w:r>
          </w:p>
        </w:tc>
      </w:tr>
      <w:tr w:rsidR="001418C2" w14:paraId="52473D8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23A47D5" w14:textId="77777777" w:rsidR="001418C2" w:rsidRDefault="00F76671">
            <w:pPr>
              <w:pStyle w:val="BodyText"/>
              <w:spacing w:after="0"/>
              <w:rPr>
                <w:b/>
              </w:rPr>
            </w:pPr>
            <w:r>
              <w:rPr>
                <w:b/>
              </w:rPr>
              <w:t>1. Date of incident</w:t>
            </w:r>
          </w:p>
        </w:tc>
        <w:tc>
          <w:tcPr>
            <w:tcW w:w="631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0E2A7AC" w14:textId="77777777" w:rsidR="001418C2" w:rsidRDefault="00F76671">
            <w:pPr>
              <w:pStyle w:val="BodyText"/>
              <w:spacing w:after="0"/>
              <w:rPr>
                <w:rFonts w:cs="Arial"/>
                <w:b/>
                <w:bCs/>
              </w:rPr>
            </w:pPr>
            <w:r>
              <w:rPr>
                <w:rFonts w:cs="Arial"/>
                <w:b/>
                <w:bCs/>
              </w:rPr>
              <w:t>August 8, 2022</w:t>
            </w:r>
          </w:p>
        </w:tc>
      </w:tr>
      <w:tr w:rsidR="001418C2" w14:paraId="3EF9E6EA"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21098A0" w14:textId="77777777" w:rsidR="001418C2" w:rsidRDefault="00F76671">
            <w:pPr>
              <w:pStyle w:val="BodyText"/>
              <w:spacing w:after="0"/>
              <w:rPr>
                <w:b/>
              </w:rPr>
            </w:pPr>
            <w:r>
              <w:rPr>
                <w:b/>
              </w:rPr>
              <w:t>2. Species</w:t>
            </w:r>
          </w:p>
        </w:tc>
        <w:tc>
          <w:tcPr>
            <w:tcW w:w="631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1BBDC29" w14:textId="77777777" w:rsidR="001418C2" w:rsidRDefault="00F76671">
            <w:pPr>
              <w:pStyle w:val="BodyText"/>
              <w:spacing w:after="0"/>
              <w:rPr>
                <w:rFonts w:cs="Arial"/>
                <w:b/>
                <w:bCs/>
              </w:rPr>
            </w:pPr>
            <w:r>
              <w:rPr>
                <w:rFonts w:cs="Arial"/>
                <w:b/>
                <w:bCs/>
              </w:rPr>
              <w:t>Macaca mulatta (rhesus monkey, Old World Monkey)</w:t>
            </w:r>
          </w:p>
        </w:tc>
      </w:tr>
      <w:tr w:rsidR="001418C2" w14:paraId="30A2169D"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41C6691" w14:textId="77777777" w:rsidR="001418C2" w:rsidRDefault="00F76671">
            <w:pPr>
              <w:pStyle w:val="BodyText"/>
              <w:spacing w:after="0"/>
              <w:rPr>
                <w:b/>
              </w:rPr>
            </w:pPr>
            <w:r>
              <w:rPr>
                <w:b/>
              </w:rPr>
              <w:t xml:space="preserve">3. Brief details of study and how the limits or </w:t>
            </w:r>
            <w:proofErr w:type="gramStart"/>
            <w:r>
              <w:rPr>
                <w:b/>
              </w:rPr>
              <w:t>constraints  have</w:t>
            </w:r>
            <w:proofErr w:type="gramEnd"/>
            <w:r>
              <w:rPr>
                <w:b/>
              </w:rPr>
              <w:t xml:space="preserve"> been breached</w:t>
            </w:r>
          </w:p>
        </w:tc>
        <w:tc>
          <w:tcPr>
            <w:tcW w:w="631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0978E10" w14:textId="77777777" w:rsidR="001418C2" w:rsidRDefault="00F76671">
            <w:pPr>
              <w:pStyle w:val="BodyText"/>
              <w:spacing w:after="0"/>
              <w:rPr>
                <w:u w:val="single"/>
              </w:rPr>
            </w:pPr>
            <w:r>
              <w:rPr>
                <w:u w:val="single"/>
              </w:rPr>
              <w:t>Researcher notes:</w:t>
            </w:r>
          </w:p>
          <w:p w14:paraId="7131B6EE" w14:textId="77777777" w:rsidR="001418C2" w:rsidRDefault="00F76671">
            <w:pPr>
              <w:pStyle w:val="BodyText"/>
              <w:spacing w:after="0"/>
            </w:pPr>
            <w:r>
              <w:t>The studied rhesus monkey Aragorn is meant to be used for examining how dopamine neurons in the brain give rise to specific preferences. The ability to decide</w:t>
            </w:r>
            <w:r>
              <w:t xml:space="preserve"> between choice options is fundamentally guided by the subjective value of each choice option. This means that although one option might be better for others, it is not necessarily best for a given individual. Although dopamine neurons are thought to be cr</w:t>
            </w:r>
            <w:r>
              <w:t>itical for this calculation during decision making, this has not yet been formally shown. The present study examines how dopamine neurons signal preferences for options and aid the ability to make choices that lead to the best possible outcome.</w:t>
            </w:r>
          </w:p>
          <w:p w14:paraId="1B43AE5E" w14:textId="77777777" w:rsidR="001418C2" w:rsidRDefault="001418C2">
            <w:pPr>
              <w:pStyle w:val="BodyText"/>
              <w:spacing w:after="0"/>
            </w:pPr>
          </w:p>
          <w:p w14:paraId="0E8500D4" w14:textId="77777777" w:rsidR="001418C2" w:rsidRDefault="00F76671">
            <w:pPr>
              <w:pStyle w:val="BodyText"/>
              <w:spacing w:after="0"/>
            </w:pPr>
            <w:r>
              <w:t>Neurophysi</w:t>
            </w:r>
            <w:r>
              <w:t>ological experiments using primates typically require a minimum of two animals to ensure that results are replicable across individual animals. Data for this experiment have been collected from one animal (</w:t>
            </w:r>
            <w:proofErr w:type="spellStart"/>
            <w:r>
              <w:t>Wurzle</w:t>
            </w:r>
            <w:proofErr w:type="spellEnd"/>
            <w:r>
              <w:t>), and Aragorn is meant to be the second ani</w:t>
            </w:r>
            <w:r>
              <w:t>mal required to complete the study. He has already been nearly completely trained on the behavioural task required for the study and will therefore be able to fully acquire this task in a very short amount of time (days/weeks). Other animals in the current</w:t>
            </w:r>
            <w:r>
              <w:t xml:space="preserve"> cohort cannot be trained for this task in such a short time, likely requiring several more months of training. This is problematic as the window to complete this experiment is rapidly closing (the laboratory will be shutting down in 2023). Additionally, n</w:t>
            </w:r>
            <w:r>
              <w:t>ew animals cannot be acquired and, even if they could, it would take &gt;1.5 years to acclimate, train, and implant them. Although Aragorn’s weight has decreased, we are confident that this can be turned around rapidly (in ~14 days) as he is responding very f</w:t>
            </w:r>
            <w:r>
              <w:t xml:space="preserve">avourably to the current treatment (clindamycin) and the most drastic drop in weight was likely due to changes in taste (which have temporarily muted his appetite for his typical diet) and diarrhoea—both common side-effects of the medication (clindamycin) </w:t>
            </w:r>
            <w:r>
              <w:t xml:space="preserve">(Lusk et al. 1977, De Groot &amp; van </w:t>
            </w:r>
            <w:proofErr w:type="spellStart"/>
            <w:r>
              <w:t>Puijenbroek</w:t>
            </w:r>
            <w:proofErr w:type="spellEnd"/>
            <w:r>
              <w:t xml:space="preserve"> 2007). Critically, he is not exhibiting any other symptoms and his behaviour is otherwise normal. </w:t>
            </w:r>
          </w:p>
          <w:p w14:paraId="1F7D6CBB" w14:textId="77777777" w:rsidR="001418C2" w:rsidRDefault="001418C2">
            <w:pPr>
              <w:pStyle w:val="BodyText"/>
              <w:spacing w:after="0"/>
            </w:pPr>
          </w:p>
          <w:p w14:paraId="29C0FFC0" w14:textId="734504CB" w:rsidR="001418C2" w:rsidRDefault="00F76671">
            <w:pPr>
              <w:pStyle w:val="BodyText"/>
              <w:spacing w:after="0"/>
            </w:pPr>
            <w:r>
              <w:t xml:space="preserve">Aragorn’s chamber was surgically implanted on 20 October </w:t>
            </w:r>
            <w:r w:rsidRPr="00D26120">
              <w:rPr>
                <w:highlight w:val="yellow"/>
              </w:rPr>
              <w:t>202</w:t>
            </w:r>
            <w:r w:rsidR="00DC352B" w:rsidRPr="00D26120">
              <w:rPr>
                <w:highlight w:val="yellow"/>
              </w:rPr>
              <w:t>0</w:t>
            </w:r>
            <w:r>
              <w:t xml:space="preserve">. The margins of the implant began to show signs </w:t>
            </w:r>
            <w:r>
              <w:t>of minor infection in the late spring of 2021. This was manageable with daily cleaning and did not pose any problems for Aragorn (the animal showed no changes in behaviour or appetite); he was happy to come into the chair and perform behavioural tasks duri</w:t>
            </w:r>
            <w:r>
              <w:t xml:space="preserve">ng daily neurophysiological recordings. </w:t>
            </w:r>
          </w:p>
          <w:p w14:paraId="6C203CF8" w14:textId="77777777" w:rsidR="001418C2" w:rsidRDefault="001418C2">
            <w:pPr>
              <w:pStyle w:val="BodyText"/>
              <w:spacing w:after="0"/>
            </w:pPr>
          </w:p>
          <w:p w14:paraId="2BCFD63A" w14:textId="77777777" w:rsidR="001418C2" w:rsidRDefault="00F76671">
            <w:pPr>
              <w:pStyle w:val="BodyText"/>
              <w:spacing w:after="0"/>
            </w:pPr>
            <w:r>
              <w:t>The infection flared in late Spring of 2022, concomitant with the researcher who worked with him being absent to visit family (Leo). Aragorn had worked with Leo exclusively for the preceding year and was hesitant t</w:t>
            </w:r>
            <w:r>
              <w:t>o put his head up in the chair for other researchers (as had been observed prior to his implantation and immediately following). This necessitated once weekly anaesthesia to maintain the implant. During this time, no noticeable changes in behaviour or appe</w:t>
            </w:r>
            <w:r>
              <w:t xml:space="preserve">tite were observed, but minor weight fluctuations were observed that were well within reason (&lt;10%). The infection was treated with ceftiofur as advised by the NVS (Henri Bertrand). </w:t>
            </w:r>
          </w:p>
          <w:p w14:paraId="5F5A4AB5" w14:textId="77777777" w:rsidR="001418C2" w:rsidRDefault="001418C2">
            <w:pPr>
              <w:pStyle w:val="BodyText"/>
              <w:spacing w:after="0"/>
            </w:pPr>
          </w:p>
          <w:p w14:paraId="25F0E137" w14:textId="77777777" w:rsidR="001418C2" w:rsidRDefault="00F76671">
            <w:pPr>
              <w:pStyle w:val="BodyText"/>
              <w:spacing w:after="0"/>
            </w:pPr>
            <w:r>
              <w:t>Upon Leo’s return to the lab, Aragorn began to put his head up again daily and was happy to come into the chair for cleaning and daily behavioural training. Although his weight fluctuated slightly (&lt;10%), there were no demonstrable changes in appetite or b</w:t>
            </w:r>
            <w:r>
              <w:t xml:space="preserve">ehaviour (in the home cage or otherwise). After a few weeks, the infection flared again and was treated for 3 consecutive weeks with ceftiofur. </w:t>
            </w:r>
          </w:p>
          <w:p w14:paraId="24FCBE31" w14:textId="77777777" w:rsidR="001418C2" w:rsidRDefault="001418C2">
            <w:pPr>
              <w:pStyle w:val="BodyText"/>
              <w:spacing w:after="0"/>
            </w:pPr>
          </w:p>
          <w:p w14:paraId="0F193505" w14:textId="6BCD95F1" w:rsidR="001418C2" w:rsidRDefault="00F76671">
            <w:pPr>
              <w:pStyle w:val="BodyText"/>
              <w:spacing w:after="0"/>
            </w:pPr>
            <w:r>
              <w:t>Despite daily cleaning, antibiotic treatments, and little-to-no change in appetite, Aragorn lost weight over t</w:t>
            </w:r>
            <w:r>
              <w:t>he past month. Swab results later indicated bacterial resistance to ceftiofur, suggesting that previous treatments had likely had little effect. From 11 July 2022 to 08 August 2022, Aragorn lost 1.9 kg (15.08%)</w:t>
            </w:r>
            <w:r w:rsidR="00B80718">
              <w:t>, reaching a humane endpoint described p69 section D of the PPL.</w:t>
            </w:r>
          </w:p>
          <w:p w14:paraId="5513C4C7" w14:textId="77777777" w:rsidR="001418C2" w:rsidRDefault="00F76671">
            <w:pPr>
              <w:pStyle w:val="BodyText"/>
              <w:spacing w:after="0"/>
            </w:pPr>
            <w:r>
              <w:rPr>
                <w:noProof/>
              </w:rPr>
              <w:drawing>
                <wp:inline distT="0" distB="0" distL="0" distR="0" wp14:anchorId="454F93E0" wp14:editId="18E8E420">
                  <wp:extent cx="3888101" cy="2913378"/>
                  <wp:effectExtent l="0" t="0" r="0" b="0"/>
                  <wp:docPr id="2"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3888101" cy="2913378"/>
                          </a:xfrm>
                          <a:prstGeom prst="rect">
                            <a:avLst/>
                          </a:prstGeom>
                          <a:noFill/>
                          <a:ln>
                            <a:noFill/>
                            <a:prstDash/>
                          </a:ln>
                        </pic:spPr>
                      </pic:pic>
                    </a:graphicData>
                  </a:graphic>
                </wp:inline>
              </w:drawing>
            </w:r>
          </w:p>
          <w:p w14:paraId="7270D677" w14:textId="77777777" w:rsidR="001418C2" w:rsidRDefault="00F76671">
            <w:pPr>
              <w:pStyle w:val="BodyText"/>
              <w:spacing w:after="0"/>
            </w:pPr>
            <w:r>
              <w:t>Note, in the above plot that the most drastic decrease in weight has come in this past weekend concomitant with clindamycin administration (started on 5 August). This drop was likely a result of changes in taste and diarrhoea, both com</w:t>
            </w:r>
            <w:r>
              <w:t xml:space="preserve">mon side-effects of clindamycin (Lusk et al. 1977, De Groot &amp; van </w:t>
            </w:r>
            <w:proofErr w:type="spellStart"/>
            <w:r>
              <w:t>Puijenbroek</w:t>
            </w:r>
            <w:proofErr w:type="spellEnd"/>
            <w:r>
              <w:t xml:space="preserve"> 2007). It is critical to note that the animal’s behaviour in the home cage is otherwise normal and that he is frequently eating and drinking.</w:t>
            </w:r>
          </w:p>
          <w:p w14:paraId="6DE07AB4" w14:textId="77777777" w:rsidR="001418C2" w:rsidRDefault="001418C2">
            <w:pPr>
              <w:pStyle w:val="BodyText"/>
              <w:spacing w:after="0"/>
            </w:pPr>
          </w:p>
          <w:p w14:paraId="57D045BF" w14:textId="77777777" w:rsidR="001418C2" w:rsidRDefault="00F76671">
            <w:pPr>
              <w:pStyle w:val="BodyText"/>
              <w:spacing w:after="0"/>
              <w:rPr>
                <w:u w:val="single"/>
              </w:rPr>
            </w:pPr>
            <w:r>
              <w:rPr>
                <w:u w:val="single"/>
              </w:rPr>
              <w:t>NVS notes:</w:t>
            </w:r>
          </w:p>
          <w:p w14:paraId="6C10A20D" w14:textId="77777777" w:rsidR="001418C2" w:rsidRDefault="00F76671">
            <w:pPr>
              <w:pStyle w:val="BodyText"/>
              <w:spacing w:after="0"/>
            </w:pPr>
            <w:r>
              <w:t>On the 15 of July 2022 t</w:t>
            </w:r>
            <w:r>
              <w:t>he implant presented granulation tissue with superficial infection and was cleaned daily. Over the last 10 days the pus production was more pronounced than it has been for the past year, and the tissue was more inflamed. A first course of antibiotic (cefti</w:t>
            </w:r>
            <w:r>
              <w:t xml:space="preserve">ofur) was prescribed and bacteriology swab for culture taken. </w:t>
            </w:r>
          </w:p>
          <w:p w14:paraId="5525BB9E" w14:textId="77777777" w:rsidR="001418C2" w:rsidRDefault="001418C2">
            <w:pPr>
              <w:pStyle w:val="BodyText"/>
              <w:spacing w:after="0"/>
            </w:pPr>
          </w:p>
          <w:p w14:paraId="239B6FA5" w14:textId="77777777" w:rsidR="001418C2" w:rsidRDefault="00F76671">
            <w:pPr>
              <w:pStyle w:val="BodyText"/>
              <w:spacing w:after="0"/>
            </w:pPr>
            <w:r>
              <w:t xml:space="preserve">This had a little effect on the pus production and </w:t>
            </w:r>
            <w:proofErr w:type="spellStart"/>
            <w:r>
              <w:t>Aragron’s</w:t>
            </w:r>
            <w:proofErr w:type="spellEnd"/>
            <w:r>
              <w:t xml:space="preserve"> weight loss reached 10% of what it was the month prior. On 02 August 2022 Animal was reviewed by the NVS under sedation, the implan</w:t>
            </w:r>
            <w:r>
              <w:t>t was thoroughly investigated and channels between the craniotomy chamber and the margins were found. A large collection of pus between the bone and soft tissue was found at the back of the implant. Blood was taken and revealed a small ratio albumin/</w:t>
            </w:r>
            <w:proofErr w:type="spellStart"/>
            <w:r>
              <w:t>globul</w:t>
            </w:r>
            <w:r>
              <w:t>ine</w:t>
            </w:r>
            <w:proofErr w:type="spellEnd"/>
            <w:r>
              <w:t>. On reception of the bacteriology results, the antibiotic was changed to a more appropriate antibiotic for the infection. On Monday the 08 August 2022 the weight loss reached the limit of 15%.</w:t>
            </w:r>
          </w:p>
          <w:p w14:paraId="1D16DF37" w14:textId="77777777" w:rsidR="001418C2" w:rsidRDefault="001418C2">
            <w:pPr>
              <w:pStyle w:val="BodyText"/>
              <w:spacing w:after="0"/>
            </w:pPr>
          </w:p>
          <w:p w14:paraId="117E0565" w14:textId="77777777" w:rsidR="001418C2" w:rsidRDefault="00F76671">
            <w:pPr>
              <w:pStyle w:val="BodyText"/>
              <w:spacing w:after="0"/>
            </w:pPr>
            <w:r>
              <w:t xml:space="preserve">Aragorn is essential to the success of this </w:t>
            </w:r>
            <w:proofErr w:type="gramStart"/>
            <w:r>
              <w:t>study</w:t>
            </w:r>
            <w:proofErr w:type="gramEnd"/>
            <w:r>
              <w:t xml:space="preserve"> and he d</w:t>
            </w:r>
            <w:r>
              <w:t>oes not display any behaviour associated with pain or discomfort. The antibiotic the treatment has significantly improved the head implant condition and for these reasons we are seeking permission to keep the animal alive.</w:t>
            </w:r>
          </w:p>
          <w:p w14:paraId="2AA1A0F3" w14:textId="77777777" w:rsidR="001418C2" w:rsidRDefault="001418C2">
            <w:pPr>
              <w:pStyle w:val="BodyText"/>
              <w:spacing w:after="0"/>
            </w:pPr>
          </w:p>
          <w:p w14:paraId="15A85908" w14:textId="77777777" w:rsidR="001418C2" w:rsidRDefault="00F76671">
            <w:pPr>
              <w:pStyle w:val="BodyText"/>
              <w:rPr>
                <w:sz w:val="18"/>
                <w:szCs w:val="18"/>
              </w:rPr>
            </w:pPr>
            <w:r>
              <w:rPr>
                <w:sz w:val="18"/>
                <w:szCs w:val="18"/>
              </w:rPr>
              <w:t xml:space="preserve">de Groot, M. C. H., &amp; van </w:t>
            </w:r>
            <w:proofErr w:type="spellStart"/>
            <w:r>
              <w:rPr>
                <w:sz w:val="18"/>
                <w:szCs w:val="18"/>
              </w:rPr>
              <w:t>Puijen</w:t>
            </w:r>
            <w:r>
              <w:rPr>
                <w:sz w:val="18"/>
                <w:szCs w:val="18"/>
              </w:rPr>
              <w:t>broek</w:t>
            </w:r>
            <w:proofErr w:type="spellEnd"/>
            <w:r>
              <w:rPr>
                <w:sz w:val="18"/>
                <w:szCs w:val="18"/>
              </w:rPr>
              <w:t>, E. P. (2007). Clindamycin and taste disorders. https://doi.org/10.1111/j.1365-2125.2007.02908.x</w:t>
            </w:r>
          </w:p>
          <w:p w14:paraId="14A26AED" w14:textId="1E94E70B" w:rsidR="001418C2" w:rsidRDefault="00F76671">
            <w:pPr>
              <w:pStyle w:val="BodyText"/>
              <w:spacing w:after="0"/>
              <w:rPr>
                <w:sz w:val="18"/>
                <w:szCs w:val="18"/>
              </w:rPr>
            </w:pPr>
            <w:r>
              <w:rPr>
                <w:sz w:val="18"/>
                <w:szCs w:val="18"/>
              </w:rPr>
              <w:t xml:space="preserve">Lusk, R. H., </w:t>
            </w:r>
            <w:proofErr w:type="spellStart"/>
            <w:r>
              <w:rPr>
                <w:sz w:val="18"/>
                <w:szCs w:val="18"/>
              </w:rPr>
              <w:t>Fekety</w:t>
            </w:r>
            <w:proofErr w:type="spellEnd"/>
            <w:r>
              <w:rPr>
                <w:sz w:val="18"/>
                <w:szCs w:val="18"/>
              </w:rPr>
              <w:t xml:space="preserve">, F. R., Silva, J., </w:t>
            </w:r>
            <w:proofErr w:type="spellStart"/>
            <w:r>
              <w:rPr>
                <w:sz w:val="18"/>
                <w:szCs w:val="18"/>
              </w:rPr>
              <w:t>Bodendorfer</w:t>
            </w:r>
            <w:proofErr w:type="spellEnd"/>
            <w:r>
              <w:rPr>
                <w:sz w:val="18"/>
                <w:szCs w:val="18"/>
              </w:rPr>
              <w:t xml:space="preserve">, T., Devine, B. J., </w:t>
            </w:r>
            <w:proofErr w:type="spellStart"/>
            <w:r>
              <w:rPr>
                <w:sz w:val="18"/>
                <w:szCs w:val="18"/>
              </w:rPr>
              <w:t>Kawanishi</w:t>
            </w:r>
            <w:proofErr w:type="spellEnd"/>
            <w:r>
              <w:rPr>
                <w:sz w:val="18"/>
                <w:szCs w:val="18"/>
              </w:rPr>
              <w:t xml:space="preserve">, H., </w:t>
            </w:r>
            <w:proofErr w:type="spellStart"/>
            <w:r>
              <w:rPr>
                <w:sz w:val="18"/>
                <w:szCs w:val="18"/>
              </w:rPr>
              <w:t>Korff</w:t>
            </w:r>
            <w:proofErr w:type="spellEnd"/>
            <w:r>
              <w:rPr>
                <w:sz w:val="18"/>
                <w:szCs w:val="18"/>
              </w:rPr>
              <w:t xml:space="preserve">, L., </w:t>
            </w:r>
            <w:proofErr w:type="spellStart"/>
            <w:r>
              <w:rPr>
                <w:sz w:val="18"/>
                <w:szCs w:val="18"/>
              </w:rPr>
              <w:t>Akauchi</w:t>
            </w:r>
            <w:proofErr w:type="spellEnd"/>
            <w:r>
              <w:rPr>
                <w:sz w:val="18"/>
                <w:szCs w:val="18"/>
              </w:rPr>
              <w:t>, D. N., Rogers, S., &amp; Siskin, S. B. (1977). Gast</w:t>
            </w:r>
            <w:r>
              <w:rPr>
                <w:sz w:val="18"/>
                <w:szCs w:val="18"/>
              </w:rPr>
              <w:t xml:space="preserve">rointestinal Side Effects of Clindamycin and Ampicillin Therapy. THE JOURNAL OF INFECTIOUS DISEASES, 135. </w:t>
            </w:r>
            <w:hyperlink r:id="rId13" w:history="1">
              <w:r w:rsidR="0004667E" w:rsidRPr="00AA7354">
                <w:rPr>
                  <w:rStyle w:val="Hyperlink"/>
                  <w:sz w:val="18"/>
                  <w:szCs w:val="18"/>
                </w:rPr>
                <w:t>https://academic.oup.com/jid/article/135/Supplement/S111/915169</w:t>
              </w:r>
            </w:hyperlink>
          </w:p>
          <w:p w14:paraId="5CF990DE" w14:textId="77777777" w:rsidR="0004667E" w:rsidRDefault="0004667E">
            <w:pPr>
              <w:pStyle w:val="BodyText"/>
              <w:spacing w:after="0"/>
              <w:rPr>
                <w:sz w:val="18"/>
                <w:szCs w:val="18"/>
              </w:rPr>
            </w:pPr>
          </w:p>
          <w:p w14:paraId="7E3BF1A0" w14:textId="77777777" w:rsidR="0004667E" w:rsidRDefault="0004667E">
            <w:pPr>
              <w:pStyle w:val="BodyText"/>
              <w:spacing w:after="0"/>
            </w:pPr>
            <w:r w:rsidRPr="0004667E">
              <w:rPr>
                <w:highlight w:val="yellow"/>
              </w:rPr>
              <w:t>Update 09/07/2022</w:t>
            </w:r>
          </w:p>
          <w:p w14:paraId="766C37B5" w14:textId="18604655" w:rsidR="0004667E" w:rsidRPr="0004667E" w:rsidRDefault="0004667E">
            <w:pPr>
              <w:pStyle w:val="BodyText"/>
              <w:spacing w:after="0"/>
            </w:pPr>
            <w:r w:rsidRPr="0004667E">
              <w:rPr>
                <w:highlight w:val="yellow"/>
              </w:rPr>
              <w:t>Animal’s weight: 10.06kg</w:t>
            </w:r>
          </w:p>
        </w:tc>
      </w:tr>
      <w:tr w:rsidR="001418C2" w14:paraId="5152688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54A4240" w14:textId="77777777" w:rsidR="001418C2" w:rsidRDefault="00F76671">
            <w:pPr>
              <w:pStyle w:val="BodyText"/>
              <w:spacing w:after="0"/>
              <w:rPr>
                <w:b/>
              </w:rPr>
            </w:pPr>
            <w:r>
              <w:rPr>
                <w:b/>
              </w:rPr>
              <w:t>4. Have you taken advice from the Named Animal Care and Welfare Officer/Named Veterinary Surgeon/others?</w:t>
            </w:r>
          </w:p>
        </w:tc>
        <w:tc>
          <w:tcPr>
            <w:tcW w:w="631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CDC7A74" w14:textId="77777777" w:rsidR="001418C2" w:rsidRDefault="00F76671">
            <w:pPr>
              <w:pStyle w:val="BodyText"/>
              <w:spacing w:after="0"/>
            </w:pPr>
            <w:r>
              <w:t xml:space="preserve">Yes, the NVS and the NACWO have been contacted for advice and the NVS conducted further </w:t>
            </w:r>
            <w:r>
              <w:t>investigation. (</w:t>
            </w:r>
            <w:proofErr w:type="gramStart"/>
            <w:r>
              <w:t>bacteriology</w:t>
            </w:r>
            <w:proofErr w:type="gramEnd"/>
            <w:r>
              <w:t xml:space="preserve"> culture and sensitivity, blood sampling)</w:t>
            </w:r>
          </w:p>
        </w:tc>
      </w:tr>
      <w:tr w:rsidR="001418C2" w14:paraId="448A741F"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1806884" w14:textId="77777777" w:rsidR="001418C2" w:rsidRDefault="00F76671">
            <w:pPr>
              <w:pStyle w:val="BodyText"/>
              <w:spacing w:after="0"/>
              <w:rPr>
                <w:b/>
              </w:rPr>
            </w:pPr>
            <w:r>
              <w:rPr>
                <w:b/>
              </w:rPr>
              <w:t>5. Cause of Problem, if known</w:t>
            </w:r>
          </w:p>
        </w:tc>
        <w:tc>
          <w:tcPr>
            <w:tcW w:w="631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636849F" w14:textId="77777777" w:rsidR="001418C2" w:rsidRDefault="00F76671">
            <w:pPr>
              <w:pStyle w:val="BodyText"/>
              <w:spacing w:after="0"/>
            </w:pPr>
            <w:r>
              <w:t>An infection of the cranial implant could be the cause; however, the animal is not displaying any behavioural signs of pain or distress and his appetite is</w:t>
            </w:r>
            <w:r>
              <w:t xml:space="preserve"> conserved. Since the administration of the antibiotic, the implant condition has improved with less pus production and reduction of inflammation of margins. The abrupt loss of weight over the weekend is potentially the result of changing taste due to the </w:t>
            </w:r>
            <w:r>
              <w:t>clindamycin (</w:t>
            </w:r>
            <w:hyperlink r:id="rId14" w:history="1">
              <w:r>
                <w:rPr>
                  <w:rStyle w:val="Hyperlink"/>
                </w:rPr>
                <w:t>https://www.ncbi.nlm.nih.gov/pmc/articles/PMC2048568/</w:t>
              </w:r>
            </w:hyperlink>
            <w:r>
              <w:t xml:space="preserve">) </w:t>
            </w:r>
          </w:p>
        </w:tc>
      </w:tr>
      <w:tr w:rsidR="001418C2" w14:paraId="5B4DFAFE"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E95911F" w14:textId="77777777" w:rsidR="001418C2" w:rsidRDefault="00F76671">
            <w:pPr>
              <w:pStyle w:val="BodyText"/>
              <w:spacing w:after="0"/>
              <w:rPr>
                <w:b/>
              </w:rPr>
            </w:pPr>
            <w:r>
              <w:rPr>
                <w:b/>
              </w:rPr>
              <w:t>6. Action that has been or will be taken</w:t>
            </w:r>
          </w:p>
          <w:p w14:paraId="1AED0D28" w14:textId="77777777" w:rsidR="001418C2" w:rsidRDefault="00F76671">
            <w:pPr>
              <w:pStyle w:val="BodyText"/>
              <w:spacing w:after="0"/>
            </w:pPr>
            <w:r>
              <w:rPr>
                <w:i/>
                <w:sz w:val="22"/>
                <w:szCs w:val="22"/>
              </w:rPr>
              <w:t>(For example, formulation of drug changed, supportive treatment given, stud</w:t>
            </w:r>
            <w:r>
              <w:rPr>
                <w:i/>
                <w:sz w:val="22"/>
                <w:szCs w:val="22"/>
              </w:rPr>
              <w:t>y design modified). If no action needed, indicate why (for example, none required as study has been terminated and will not be repeated)</w:t>
            </w:r>
          </w:p>
        </w:tc>
        <w:tc>
          <w:tcPr>
            <w:tcW w:w="631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31E8888" w14:textId="77777777" w:rsidR="001418C2" w:rsidRDefault="00F76671">
            <w:pPr>
              <w:pStyle w:val="BodyText"/>
              <w:spacing w:after="0"/>
            </w:pPr>
            <w:r>
              <w:t>The animal has been placed under free water when it reached the 10% weight loss.</w:t>
            </w:r>
          </w:p>
          <w:p w14:paraId="15688A72" w14:textId="77777777" w:rsidR="001418C2" w:rsidRDefault="00F76671">
            <w:pPr>
              <w:pStyle w:val="BodyText"/>
              <w:spacing w:after="0"/>
            </w:pPr>
            <w:r>
              <w:t>Based on the sensitivity results, a co</w:t>
            </w:r>
            <w:r>
              <w:t xml:space="preserve">urse of appropriate antibiotic (Clindamycin 300mg twice a day IM) has been prescribed for 5 days and could be extended after reassessment. </w:t>
            </w:r>
          </w:p>
          <w:p w14:paraId="6694045D" w14:textId="77777777" w:rsidR="001418C2" w:rsidRDefault="00F76671">
            <w:pPr>
              <w:pStyle w:val="BodyText"/>
              <w:spacing w:after="0"/>
            </w:pPr>
            <w:r>
              <w:t xml:space="preserve">Additional food is currently provided. </w:t>
            </w:r>
          </w:p>
          <w:p w14:paraId="57785287" w14:textId="77777777" w:rsidR="001418C2" w:rsidRDefault="001418C2">
            <w:pPr>
              <w:pStyle w:val="BodyText"/>
              <w:spacing w:after="0"/>
            </w:pPr>
          </w:p>
          <w:p w14:paraId="3E02F0B7" w14:textId="77777777" w:rsidR="001418C2" w:rsidRDefault="00F76671">
            <w:pPr>
              <w:pStyle w:val="BodyText"/>
              <w:spacing w:after="0"/>
            </w:pPr>
            <w:r>
              <w:t>We are planning to:</w:t>
            </w:r>
          </w:p>
          <w:p w14:paraId="11D976FF" w14:textId="77777777" w:rsidR="001418C2" w:rsidRDefault="00F76671">
            <w:pPr>
              <w:pStyle w:val="BodyText"/>
              <w:numPr>
                <w:ilvl w:val="0"/>
                <w:numId w:val="16"/>
              </w:numPr>
              <w:spacing w:after="0"/>
            </w:pPr>
            <w:r>
              <w:t>continue the course of antibiotic</w:t>
            </w:r>
          </w:p>
          <w:p w14:paraId="5EB6D84C" w14:textId="77777777" w:rsidR="001418C2" w:rsidRDefault="00F76671">
            <w:pPr>
              <w:pStyle w:val="BodyText"/>
              <w:numPr>
                <w:ilvl w:val="0"/>
                <w:numId w:val="16"/>
              </w:numPr>
              <w:spacing w:after="0"/>
            </w:pPr>
            <w:r>
              <w:t>Give access to ad-lib</w:t>
            </w:r>
            <w:r>
              <w:t>itum water</w:t>
            </w:r>
          </w:p>
          <w:p w14:paraId="2794B646" w14:textId="77777777" w:rsidR="001418C2" w:rsidRDefault="00F76671">
            <w:pPr>
              <w:pStyle w:val="BodyText"/>
              <w:numPr>
                <w:ilvl w:val="0"/>
                <w:numId w:val="16"/>
              </w:numPr>
              <w:spacing w:after="0"/>
            </w:pPr>
            <w:r>
              <w:t>Provide additional highly energetic food</w:t>
            </w:r>
          </w:p>
          <w:p w14:paraId="0F216D08" w14:textId="77777777" w:rsidR="001418C2" w:rsidRDefault="00F76671">
            <w:pPr>
              <w:pStyle w:val="BodyText"/>
              <w:numPr>
                <w:ilvl w:val="0"/>
                <w:numId w:val="16"/>
              </w:numPr>
              <w:spacing w:after="0"/>
            </w:pPr>
            <w:r>
              <w:t>Monitor the animal weigh 3 times a week</w:t>
            </w:r>
          </w:p>
          <w:p w14:paraId="106077F8" w14:textId="77777777" w:rsidR="001418C2" w:rsidRDefault="001418C2">
            <w:pPr>
              <w:pStyle w:val="BodyText"/>
              <w:numPr>
                <w:ilvl w:val="0"/>
                <w:numId w:val="16"/>
              </w:numPr>
              <w:spacing w:after="0"/>
            </w:pPr>
          </w:p>
          <w:p w14:paraId="5FE71113" w14:textId="77777777" w:rsidR="001418C2" w:rsidRDefault="00F76671">
            <w:pPr>
              <w:pStyle w:val="BodyText"/>
              <w:spacing w:after="0"/>
            </w:pPr>
            <w:r>
              <w:t>The animal will be killed if:</w:t>
            </w:r>
          </w:p>
          <w:p w14:paraId="3E86F7A5" w14:textId="77777777" w:rsidR="001418C2" w:rsidRDefault="00F76671">
            <w:pPr>
              <w:pStyle w:val="BodyText"/>
              <w:numPr>
                <w:ilvl w:val="0"/>
                <w:numId w:val="16"/>
              </w:numPr>
              <w:spacing w:after="0"/>
            </w:pPr>
            <w:r>
              <w:t>The animal displays any abnormal behaviour</w:t>
            </w:r>
          </w:p>
          <w:p w14:paraId="5AD74470" w14:textId="77777777" w:rsidR="001418C2" w:rsidRDefault="00F76671">
            <w:pPr>
              <w:pStyle w:val="BodyText"/>
              <w:numPr>
                <w:ilvl w:val="0"/>
                <w:numId w:val="16"/>
              </w:numPr>
              <w:spacing w:after="0"/>
            </w:pPr>
            <w:r>
              <w:t>Sudden stop to food intake</w:t>
            </w:r>
          </w:p>
          <w:p w14:paraId="0F69722E" w14:textId="77777777" w:rsidR="001418C2" w:rsidRDefault="00F76671">
            <w:pPr>
              <w:pStyle w:val="BodyText"/>
              <w:numPr>
                <w:ilvl w:val="0"/>
                <w:numId w:val="16"/>
              </w:numPr>
              <w:spacing w:after="0"/>
            </w:pPr>
            <w:r>
              <w:t xml:space="preserve">If the weight loss reaches 25% compared to the weight </w:t>
            </w:r>
            <w:r>
              <w:t>measured 4 weeks before</w:t>
            </w:r>
          </w:p>
        </w:tc>
      </w:tr>
      <w:tr w:rsidR="001418C2" w14:paraId="615AB31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9A2C986" w14:textId="77777777" w:rsidR="001418C2" w:rsidRDefault="00F76671">
            <w:pPr>
              <w:pStyle w:val="BodyText"/>
              <w:spacing w:after="0"/>
              <w:rPr>
                <w:b/>
              </w:rPr>
            </w:pPr>
            <w:r>
              <w:rPr>
                <w:b/>
              </w:rPr>
              <w:t>7. Reported by (name)</w:t>
            </w:r>
          </w:p>
        </w:tc>
        <w:tc>
          <w:tcPr>
            <w:tcW w:w="631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519FF0F" w14:textId="77777777" w:rsidR="001418C2" w:rsidRDefault="00F76671">
            <w:pPr>
              <w:pStyle w:val="BodyText"/>
              <w:spacing w:after="0"/>
            </w:pPr>
            <w:r>
              <w:t>Wolfram Schultz</w:t>
            </w:r>
          </w:p>
        </w:tc>
      </w:tr>
      <w:tr w:rsidR="001418C2" w14:paraId="3360304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F94A476" w14:textId="77777777" w:rsidR="001418C2" w:rsidRDefault="00F76671">
            <w:pPr>
              <w:pStyle w:val="BodyText"/>
              <w:spacing w:after="0"/>
              <w:rPr>
                <w:b/>
              </w:rPr>
            </w:pPr>
            <w:r>
              <w:rPr>
                <w:b/>
              </w:rPr>
              <w:t>8. Date</w:t>
            </w:r>
          </w:p>
        </w:tc>
        <w:tc>
          <w:tcPr>
            <w:tcW w:w="631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476246D" w14:textId="77777777" w:rsidR="001418C2" w:rsidRDefault="00F76671">
            <w:pPr>
              <w:pStyle w:val="BodyText"/>
              <w:spacing w:after="0"/>
            </w:pPr>
            <w:r>
              <w:t>August 9, 2022</w:t>
            </w:r>
          </w:p>
        </w:tc>
      </w:tr>
    </w:tbl>
    <w:p w14:paraId="0C281278" w14:textId="77777777" w:rsidR="001418C2" w:rsidRDefault="001418C2">
      <w:pPr>
        <w:pStyle w:val="BodyText"/>
      </w:pPr>
    </w:p>
    <w:p w14:paraId="78594BCC" w14:textId="77777777" w:rsidR="001418C2" w:rsidRDefault="00F76671">
      <w:pPr>
        <w:rPr>
          <w:rFonts w:eastAsia="Calibri" w:cs="Arial"/>
          <w:b/>
          <w:lang w:eastAsia="en-US"/>
        </w:rPr>
      </w:pPr>
      <w:bookmarkStart w:id="3" w:name="_Toc86483909"/>
      <w:bookmarkStart w:id="4" w:name="_Toc402366355"/>
      <w:r>
        <w:rPr>
          <w:rFonts w:eastAsia="Calibri" w:cs="Arial"/>
          <w:b/>
          <w:lang w:eastAsia="en-US"/>
        </w:rPr>
        <w:t>******************************For official use******************************************</w:t>
      </w:r>
    </w:p>
    <w:p w14:paraId="14BDD8E2" w14:textId="77777777" w:rsidR="001418C2" w:rsidRDefault="001418C2">
      <w:pPr>
        <w:rPr>
          <w:rFonts w:eastAsia="Calibri" w:cs="Arial"/>
          <w:b/>
          <w:lang w:eastAsia="en-US"/>
        </w:rPr>
      </w:pPr>
    </w:p>
    <w:p w14:paraId="52360EAC" w14:textId="77777777" w:rsidR="001418C2" w:rsidRDefault="00F76671">
      <w:pPr>
        <w:pStyle w:val="Heading3"/>
        <w:rPr>
          <w:rFonts w:eastAsia="Calibri"/>
          <w:color w:val="7030A0"/>
          <w:lang w:eastAsia="en-US"/>
        </w:rPr>
      </w:pPr>
      <w:r>
        <w:rPr>
          <w:rFonts w:eastAsia="Calibri"/>
          <w:color w:val="7030A0"/>
          <w:lang w:eastAsia="en-US"/>
        </w:rPr>
        <w:t>Inspector’s comments and recommendations:</w:t>
      </w:r>
    </w:p>
    <w:p w14:paraId="7EDDBBA4" w14:textId="77777777" w:rsidR="001418C2" w:rsidRDefault="001418C2"/>
    <w:tbl>
      <w:tblPr>
        <w:tblW w:w="9639" w:type="dxa"/>
        <w:tblInd w:w="57" w:type="dxa"/>
        <w:tblLayout w:type="fixed"/>
        <w:tblCellMar>
          <w:left w:w="10" w:type="dxa"/>
          <w:right w:w="10" w:type="dxa"/>
        </w:tblCellMar>
        <w:tblLook w:val="0000" w:firstRow="0" w:lastRow="0" w:firstColumn="0" w:lastColumn="0" w:noHBand="0" w:noVBand="0"/>
      </w:tblPr>
      <w:tblGrid>
        <w:gridCol w:w="3402"/>
        <w:gridCol w:w="6237"/>
      </w:tblGrid>
      <w:tr w:rsidR="001418C2" w14:paraId="3BA2F7A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B7476A5" w14:textId="77777777" w:rsidR="001418C2" w:rsidRDefault="00F76671">
            <w:pPr>
              <w:rPr>
                <w:rFonts w:eastAsia="Calibri" w:cs="Arial"/>
                <w:b/>
                <w:lang w:eastAsia="en-US"/>
              </w:rPr>
            </w:pPr>
            <w:r>
              <w:rPr>
                <w:rFonts w:eastAsia="Calibri" w:cs="Arial"/>
                <w:b/>
                <w:lang w:eastAsia="en-US"/>
              </w:rPr>
              <w:t xml:space="preserve">Comments and </w:t>
            </w:r>
            <w:r>
              <w:rPr>
                <w:rFonts w:eastAsia="Calibri" w:cs="Arial"/>
                <w:b/>
                <w:lang w:eastAsia="en-US"/>
              </w:rPr>
              <w:t>recommendations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A451C90" w14:textId="4757C22E" w:rsidR="00FE63EA" w:rsidRPr="00FE63EA" w:rsidRDefault="00FE63EA" w:rsidP="00FE63EA">
            <w:pPr>
              <w:pStyle w:val="BodyText"/>
            </w:pPr>
            <w:r w:rsidRPr="00FE63EA">
              <w:t xml:space="preserve">Dear </w:t>
            </w:r>
            <w:r>
              <w:t>Dr Schultz</w:t>
            </w:r>
            <w:r w:rsidRPr="00FE63EA">
              <w:t xml:space="preserve">, </w:t>
            </w:r>
          </w:p>
          <w:p w14:paraId="58659608" w14:textId="79107288" w:rsidR="00FE63EA" w:rsidRPr="00FE63EA" w:rsidRDefault="00FE63EA" w:rsidP="00FE63EA">
            <w:pPr>
              <w:pStyle w:val="BodyText"/>
            </w:pPr>
            <w:r w:rsidRPr="00FE63EA">
              <w:t xml:space="preserve">Thank you for this PPL Standard Condition 18 notification.  The </w:t>
            </w:r>
            <w:r w:rsidR="006823D8" w:rsidRPr="006823D8">
              <w:t>a</w:t>
            </w:r>
            <w:r w:rsidR="00F42AAE">
              <w:t>nimal has reached the</w:t>
            </w:r>
            <w:r w:rsidR="002646BE">
              <w:t xml:space="preserve"> humane end point of 15% body weight loss</w:t>
            </w:r>
            <w:r w:rsidR="006415BB">
              <w:t xml:space="preserve"> authorised by the </w:t>
            </w:r>
            <w:r w:rsidR="0013407A">
              <w:t>protocol</w:t>
            </w:r>
            <w:r w:rsidR="006415BB">
              <w:t xml:space="preserve">, </w:t>
            </w:r>
            <w:r w:rsidR="00224554">
              <w:t xml:space="preserve">and </w:t>
            </w:r>
            <w:r w:rsidR="0013407A" w:rsidRPr="0013407A">
              <w:t>you are compliant with your licence by reporting this under PPL standard condition 18.</w:t>
            </w:r>
          </w:p>
          <w:p w14:paraId="4C3982F4" w14:textId="70B0183F" w:rsidR="00FE63EA" w:rsidRPr="00FE63EA" w:rsidRDefault="00FE63EA" w:rsidP="00FE63EA">
            <w:pPr>
              <w:pStyle w:val="BodyText"/>
            </w:pPr>
            <w:r w:rsidRPr="00FE63EA">
              <w:t>Following a discussion with the NVS</w:t>
            </w:r>
            <w:r w:rsidR="00060052">
              <w:t xml:space="preserve">, Henri Bertrand, </w:t>
            </w:r>
            <w:r w:rsidRPr="00FE63EA">
              <w:t xml:space="preserve">over the phone, I was reassured that </w:t>
            </w:r>
            <w:r w:rsidR="0013407A">
              <w:t>Ar</w:t>
            </w:r>
            <w:r w:rsidR="00132069">
              <w:t>a</w:t>
            </w:r>
            <w:r w:rsidR="0013407A">
              <w:t>go</w:t>
            </w:r>
            <w:r w:rsidR="00132069">
              <w:t>r</w:t>
            </w:r>
            <w:r w:rsidR="0013407A">
              <w:t>n is</w:t>
            </w:r>
            <w:r w:rsidRPr="00FE63EA">
              <w:t xml:space="preserve"> </w:t>
            </w:r>
            <w:r w:rsidR="0013407A">
              <w:t>not present</w:t>
            </w:r>
            <w:r w:rsidR="00A00D48">
              <w:t>ing</w:t>
            </w:r>
            <w:r w:rsidR="0013407A">
              <w:t xml:space="preserve"> clinical signs and that its</w:t>
            </w:r>
            <w:r w:rsidR="00060052">
              <w:t xml:space="preserve"> body condition score </w:t>
            </w:r>
            <w:r w:rsidR="0013407A">
              <w:t xml:space="preserve">is between 2.5-3. </w:t>
            </w:r>
          </w:p>
          <w:p w14:paraId="2F124876" w14:textId="2B6E03BA" w:rsidR="00132069" w:rsidRDefault="008F0D83" w:rsidP="00FE63EA">
            <w:pPr>
              <w:pStyle w:val="BodyText"/>
            </w:pPr>
            <w:r>
              <w:t>T</w:t>
            </w:r>
            <w:r w:rsidR="00F5219F">
              <w:t>aking into consideration the number of procedures</w:t>
            </w:r>
            <w:r w:rsidR="00461A5B">
              <w:t xml:space="preserve"> that it has undergone,</w:t>
            </w:r>
            <w:r w:rsidR="00F5219F">
              <w:t xml:space="preserve"> </w:t>
            </w:r>
            <w:r w:rsidR="00132069">
              <w:t xml:space="preserve">as well as the training </w:t>
            </w:r>
            <w:r w:rsidR="00132069" w:rsidRPr="00132069">
              <w:t>on the behavioural task</w:t>
            </w:r>
            <w:r w:rsidR="00132069">
              <w:t>s</w:t>
            </w:r>
            <w:r>
              <w:t>, t</w:t>
            </w:r>
            <w:r w:rsidRPr="008F0D83">
              <w:t>he</w:t>
            </w:r>
            <w:r w:rsidRPr="00FE63EA">
              <w:t xml:space="preserve"> case for keeping th</w:t>
            </w:r>
            <w:r w:rsidRPr="008F0D83">
              <w:t>is</w:t>
            </w:r>
            <w:r w:rsidRPr="00FE63EA">
              <w:t xml:space="preserve"> animal alive is reasonable</w:t>
            </w:r>
            <w:r w:rsidR="00060052">
              <w:t>.</w:t>
            </w:r>
          </w:p>
          <w:p w14:paraId="1D577B36" w14:textId="25510F51" w:rsidR="00FE63EA" w:rsidRDefault="00FE63EA" w:rsidP="00FE63EA">
            <w:pPr>
              <w:pStyle w:val="BodyText"/>
            </w:pPr>
            <w:r w:rsidRPr="00FE63EA">
              <w:t xml:space="preserve">Consent is given to keep </w:t>
            </w:r>
            <w:r w:rsidR="000C1276">
              <w:t>Ar</w:t>
            </w:r>
            <w:r w:rsidR="008F0D83">
              <w:t>a</w:t>
            </w:r>
            <w:r w:rsidR="000C1276">
              <w:t>go</w:t>
            </w:r>
            <w:r w:rsidR="008F0D83">
              <w:t>r</w:t>
            </w:r>
            <w:r w:rsidR="000C1276">
              <w:t xml:space="preserve">n </w:t>
            </w:r>
            <w:r w:rsidRPr="00FE63EA">
              <w:t>alive for 14 days from the date this incident was identified (</w:t>
            </w:r>
            <w:r w:rsidR="008F0D83">
              <w:t>08</w:t>
            </w:r>
            <w:r w:rsidRPr="00FE63EA">
              <w:t>/</w:t>
            </w:r>
            <w:r w:rsidR="008F0D83">
              <w:t>08</w:t>
            </w:r>
            <w:r w:rsidRPr="00FE63EA">
              <w:t>/202</w:t>
            </w:r>
            <w:r w:rsidR="008F0D83">
              <w:t>2</w:t>
            </w:r>
            <w:r w:rsidRPr="00FE63EA">
              <w:t>)</w:t>
            </w:r>
            <w:r w:rsidR="008F0D83">
              <w:t xml:space="preserve">, provided that: </w:t>
            </w:r>
          </w:p>
          <w:p w14:paraId="51F83901" w14:textId="77777777" w:rsidR="00C542D2" w:rsidRDefault="00540E68" w:rsidP="008F0D83">
            <w:pPr>
              <w:pStyle w:val="BodyText"/>
              <w:numPr>
                <w:ilvl w:val="0"/>
                <w:numId w:val="17"/>
              </w:numPr>
            </w:pPr>
            <w:r>
              <w:t>The clinical condition of the animal does not deteriorate</w:t>
            </w:r>
          </w:p>
          <w:p w14:paraId="5EA40F65" w14:textId="685FEB7E" w:rsidR="008F0D83" w:rsidRDefault="00C542D2" w:rsidP="008F0D83">
            <w:pPr>
              <w:pStyle w:val="BodyText"/>
              <w:numPr>
                <w:ilvl w:val="0"/>
                <w:numId w:val="17"/>
              </w:numPr>
            </w:pPr>
            <w:r>
              <w:t>I</w:t>
            </w:r>
            <w:r w:rsidR="00540E68">
              <w:t xml:space="preserve">t does not lose </w:t>
            </w:r>
            <w:r w:rsidR="00474CA4">
              <w:t>more than</w:t>
            </w:r>
            <w:r w:rsidR="00540E68">
              <w:t xml:space="preserve"> </w:t>
            </w:r>
            <w:r w:rsidR="00540E68" w:rsidRPr="0048474E">
              <w:rPr>
                <w:b/>
                <w:bCs/>
              </w:rPr>
              <w:t>20% bo</w:t>
            </w:r>
            <w:r w:rsidR="002025E4" w:rsidRPr="0048474E">
              <w:rPr>
                <w:b/>
                <w:bCs/>
              </w:rPr>
              <w:t>dy weight</w:t>
            </w:r>
            <w:r w:rsidR="002025E4">
              <w:t xml:space="preserve">. </w:t>
            </w:r>
            <w:r w:rsidR="007C3302">
              <w:t>If it reaches such end point</w:t>
            </w:r>
            <w:r w:rsidR="00474CA4">
              <w:t xml:space="preserve">, </w:t>
            </w:r>
            <w:r w:rsidR="007C3302">
              <w:t xml:space="preserve">it must be euthanised </w:t>
            </w:r>
            <w:r w:rsidR="007C3302" w:rsidRPr="005F7301">
              <w:rPr>
                <w:b/>
                <w:bCs/>
              </w:rPr>
              <w:t>immediately.</w:t>
            </w:r>
          </w:p>
          <w:p w14:paraId="78437A58" w14:textId="43530158" w:rsidR="0048474E" w:rsidRDefault="00842290" w:rsidP="008F0D83">
            <w:pPr>
              <w:pStyle w:val="BodyText"/>
              <w:numPr>
                <w:ilvl w:val="0"/>
                <w:numId w:val="17"/>
              </w:numPr>
            </w:pPr>
            <w:r>
              <w:t>An update o</w:t>
            </w:r>
            <w:r w:rsidR="00921C21">
              <w:t>f</w:t>
            </w:r>
            <w:r>
              <w:t xml:space="preserve"> </w:t>
            </w:r>
            <w:r w:rsidR="00254DE1">
              <w:t>its</w:t>
            </w:r>
            <w:r>
              <w:t xml:space="preserve"> condition is sent by email on Friday 12</w:t>
            </w:r>
            <w:r w:rsidRPr="00842290">
              <w:rPr>
                <w:vertAlign w:val="superscript"/>
              </w:rPr>
              <w:t>th</w:t>
            </w:r>
            <w:r>
              <w:t xml:space="preserve"> of August. </w:t>
            </w:r>
          </w:p>
          <w:p w14:paraId="30BF3A6C" w14:textId="5437641B" w:rsidR="004701B5" w:rsidRPr="004701B5" w:rsidRDefault="00842290" w:rsidP="004701B5">
            <w:pPr>
              <w:pStyle w:val="BodyText"/>
              <w:numPr>
                <w:ilvl w:val="0"/>
                <w:numId w:val="17"/>
              </w:numPr>
            </w:pPr>
            <w:r>
              <w:t>A written report</w:t>
            </w:r>
            <w:r w:rsidR="00812A20">
              <w:t xml:space="preserve"> summarising the </w:t>
            </w:r>
            <w:r w:rsidR="00921C21">
              <w:t>outcome of the clinical intervention</w:t>
            </w:r>
            <w:r w:rsidR="00BD74FD">
              <w:t>s</w:t>
            </w:r>
            <w:r w:rsidR="00921C21">
              <w:t xml:space="preserve"> </w:t>
            </w:r>
            <w:r w:rsidR="00780D71">
              <w:t xml:space="preserve">is </w:t>
            </w:r>
            <w:r w:rsidR="005F7301">
              <w:t>provided by</w:t>
            </w:r>
            <w:r w:rsidR="005B408E">
              <w:t xml:space="preserve"> Tuesday 16</w:t>
            </w:r>
            <w:r w:rsidR="005B408E" w:rsidRPr="005B408E">
              <w:rPr>
                <w:vertAlign w:val="superscript"/>
              </w:rPr>
              <w:t>th</w:t>
            </w:r>
            <w:r w:rsidR="005B408E">
              <w:t xml:space="preserve"> of August</w:t>
            </w:r>
            <w:r w:rsidR="009E6492">
              <w:t xml:space="preserve">. This should </w:t>
            </w:r>
            <w:r w:rsidR="00F001E1">
              <w:t xml:space="preserve">also </w:t>
            </w:r>
            <w:r w:rsidR="009E6492">
              <w:t>include</w:t>
            </w:r>
            <w:r w:rsidR="00B221E0">
              <w:t xml:space="preserve"> </w:t>
            </w:r>
            <w:r w:rsidR="00292D42">
              <w:t xml:space="preserve">study plans and timescales </w:t>
            </w:r>
          </w:p>
          <w:p w14:paraId="333110E2" w14:textId="77777777" w:rsidR="004701B5" w:rsidRPr="004701B5" w:rsidRDefault="004701B5" w:rsidP="004701B5">
            <w:pPr>
              <w:pStyle w:val="BodyText"/>
            </w:pPr>
            <w:r w:rsidRPr="004701B5">
              <w:t>Please note that ASRU will not authorise continued severe pain, suffering or distress that is likely to be long-lasting and cannot be ameliorated. In such cases, animals should be immediately humanely killed to prevent unnecessary suffering. </w:t>
            </w:r>
          </w:p>
          <w:p w14:paraId="13CC7D90" w14:textId="3C085893" w:rsidR="00FE63EA" w:rsidRPr="00FE63EA" w:rsidRDefault="00FE63EA" w:rsidP="00FE63EA">
            <w:pPr>
              <w:pStyle w:val="BodyText"/>
            </w:pPr>
          </w:p>
          <w:p w14:paraId="5DF8595A" w14:textId="77777777" w:rsidR="001418C2" w:rsidRDefault="001418C2">
            <w:pPr>
              <w:pStyle w:val="BodyText"/>
              <w:spacing w:after="0"/>
            </w:pPr>
          </w:p>
          <w:p w14:paraId="1B88C17E" w14:textId="77777777" w:rsidR="001418C2" w:rsidRDefault="001418C2">
            <w:pPr>
              <w:pStyle w:val="BodyText"/>
              <w:spacing w:after="0"/>
            </w:pPr>
          </w:p>
          <w:p w14:paraId="3A1E68B0" w14:textId="77777777" w:rsidR="001418C2" w:rsidRDefault="001418C2">
            <w:pPr>
              <w:pStyle w:val="BodyText"/>
              <w:spacing w:after="0"/>
            </w:pPr>
          </w:p>
        </w:tc>
      </w:tr>
      <w:tr w:rsidR="001418C2" w14:paraId="2BB40017"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603F26C" w14:textId="77777777" w:rsidR="001418C2" w:rsidRDefault="00F76671">
            <w:r>
              <w:rPr>
                <w:rFonts w:eastAsia="Calibri" w:cs="Arial"/>
                <w:b/>
                <w:lang w:eastAsia="en-US"/>
              </w:rPr>
              <w:t>Inspector name</w:t>
            </w:r>
            <w:r>
              <w:rPr>
                <w:rFonts w:eastAsia="Calibri" w:cs="Arial"/>
                <w:lang w:eastAsia="en-US"/>
              </w:rPr>
              <w:t xml:space="preserve"> </w:t>
            </w:r>
          </w:p>
          <w:p w14:paraId="107805E2" w14:textId="77777777" w:rsidR="001418C2" w:rsidRDefault="001418C2">
            <w:pPr>
              <w:pStyle w:val="BodyText"/>
              <w:spacing w:after="0"/>
              <w:rPr>
                <w:b/>
              </w:rPr>
            </w:pP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7867143" w14:textId="1FDBD7DB" w:rsidR="001418C2" w:rsidRDefault="00F001E1">
            <w:pPr>
              <w:pStyle w:val="BodyText"/>
              <w:spacing w:after="0"/>
            </w:pPr>
            <w:r>
              <w:t>Dr Noelia Lopez-Salesansky</w:t>
            </w:r>
          </w:p>
        </w:tc>
      </w:tr>
      <w:tr w:rsidR="001418C2" w14:paraId="465939D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37449A6" w14:textId="77777777" w:rsidR="001418C2" w:rsidRDefault="00F76671">
            <w:pPr>
              <w:pStyle w:val="BodyText"/>
              <w:spacing w:after="0"/>
            </w:pPr>
            <w:r>
              <w:rPr>
                <w:b/>
              </w:rPr>
              <w:t>Date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F3A303C" w14:textId="18783002" w:rsidR="001418C2" w:rsidRDefault="00F001E1">
            <w:pPr>
              <w:pStyle w:val="BodyText"/>
              <w:spacing w:after="0"/>
            </w:pPr>
            <w:r>
              <w:t>09/08/2022</w:t>
            </w:r>
          </w:p>
        </w:tc>
      </w:tr>
      <w:bookmarkEnd w:id="3"/>
      <w:bookmarkEnd w:id="4"/>
    </w:tbl>
    <w:p w14:paraId="680D21AE" w14:textId="77777777" w:rsidR="001418C2" w:rsidRDefault="001418C2">
      <w:pPr>
        <w:pStyle w:val="BodyText"/>
      </w:pPr>
    </w:p>
    <w:sectPr w:rsidR="001418C2">
      <w:headerReference w:type="default" r:id="rId15"/>
      <w:footerReference w:type="even" r:id="rId16"/>
      <w:footerReference w:type="default" r:id="rId17"/>
      <w:pgSz w:w="11906" w:h="16838"/>
      <w:pgMar w:top="1440" w:right="1080" w:bottom="1440" w:left="108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AC2A22" w14:textId="77777777" w:rsidR="00F76671" w:rsidRDefault="00F76671">
      <w:pPr>
        <w:spacing w:line="240" w:lineRule="auto"/>
      </w:pPr>
      <w:r>
        <w:separator/>
      </w:r>
    </w:p>
  </w:endnote>
  <w:endnote w:type="continuationSeparator" w:id="0">
    <w:p w14:paraId="2C71996E" w14:textId="77777777" w:rsidR="00F76671" w:rsidRDefault="00F76671">
      <w:pPr>
        <w:spacing w:line="240" w:lineRule="auto"/>
      </w:pPr>
      <w:r>
        <w:continuationSeparator/>
      </w:r>
    </w:p>
  </w:endnote>
  <w:endnote w:type="continuationNotice" w:id="1">
    <w:p w14:paraId="35C917FD" w14:textId="77777777" w:rsidR="00F76671" w:rsidRDefault="00F7667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charset w:val="00"/>
    <w:family w:val="swiss"/>
    <w:pitch w:val="variable"/>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E8727" w14:textId="77777777" w:rsidR="0094707C" w:rsidRDefault="00F76671">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08521" w14:textId="77777777" w:rsidR="0094707C" w:rsidRDefault="00F76671">
    <w:pPr>
      <w:pStyle w:val="Footer"/>
    </w:pPr>
    <w:r>
      <w:t xml:space="preserve">v1 180503 </w:t>
    </w:r>
  </w:p>
  <w:p w14:paraId="00F00A79" w14:textId="77777777" w:rsidR="0094707C" w:rsidRDefault="00F76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5F339" w14:textId="77777777" w:rsidR="00F76671" w:rsidRDefault="00F76671">
      <w:pPr>
        <w:spacing w:line="240" w:lineRule="auto"/>
      </w:pPr>
      <w:r>
        <w:rPr>
          <w:color w:val="000000"/>
        </w:rPr>
        <w:separator/>
      </w:r>
    </w:p>
  </w:footnote>
  <w:footnote w:type="continuationSeparator" w:id="0">
    <w:p w14:paraId="3138532A" w14:textId="77777777" w:rsidR="00F76671" w:rsidRDefault="00F76671">
      <w:pPr>
        <w:spacing w:line="240" w:lineRule="auto"/>
      </w:pPr>
      <w:r>
        <w:continuationSeparator/>
      </w:r>
    </w:p>
  </w:footnote>
  <w:footnote w:type="continuationNotice" w:id="1">
    <w:p w14:paraId="6C23795E" w14:textId="77777777" w:rsidR="00F76671" w:rsidRDefault="00F7667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B7538" w14:textId="19F643DC" w:rsidR="00F94A28" w:rsidRPr="00F94A28" w:rsidRDefault="00744724" w:rsidP="00744724">
    <w:pPr>
      <w:suppressAutoHyphens w:val="0"/>
      <w:autoSpaceDN/>
      <w:spacing w:line="240" w:lineRule="auto"/>
      <w:jc w:val="right"/>
      <w:textAlignment w:val="auto"/>
      <w:rPr>
        <w:b/>
        <w:color w:val="8F23B3"/>
        <w:sz w:val="40"/>
        <w:szCs w:val="40"/>
      </w:rPr>
    </w:pPr>
    <w:r>
      <w:rPr>
        <w:b/>
        <w:color w:val="8F23B3"/>
        <w:sz w:val="40"/>
        <w:szCs w:val="40"/>
      </w:rPr>
      <w:t xml:space="preserve">                    </w:t>
    </w:r>
    <w:r w:rsidRPr="00744724">
      <w:rPr>
        <w:b/>
        <w:color w:val="8F23B3"/>
        <w:sz w:val="40"/>
        <w:szCs w:val="40"/>
      </w:rPr>
      <w:t>222093</w:t>
    </w:r>
    <w:r w:rsidR="00F94A28" w:rsidRPr="00F94A28">
      <w:rPr>
        <w:b/>
        <w:color w:val="8F23B3"/>
        <w:sz w:val="40"/>
        <w:szCs w:val="40"/>
      </w:rPr>
      <w:t>AE</w:t>
    </w:r>
  </w:p>
  <w:p w14:paraId="43EA457D" w14:textId="3B7DA90F" w:rsidR="00F94A28" w:rsidRDefault="00F94A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47DD5"/>
    <w:multiLevelType w:val="multilevel"/>
    <w:tmpl w:val="2BFE1A56"/>
    <w:styleLink w:val="LFO1"/>
    <w:lvl w:ilvl="0">
      <w:numFmt w:val="bullet"/>
      <w:pStyle w:val="ListBullet"/>
      <w:lvlText w:val=""/>
      <w:lvlJc w:val="left"/>
      <w:pPr>
        <w:ind w:left="454" w:hanging="454"/>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1F073C6"/>
    <w:multiLevelType w:val="multilevel"/>
    <w:tmpl w:val="87381442"/>
    <w:styleLink w:val="LFO6"/>
    <w:lvl w:ilvl="0">
      <w:start w:val="1"/>
      <w:numFmt w:val="decimal"/>
      <w:pStyle w:val="ListNumber"/>
      <w:lvlText w:val="%1."/>
      <w:lvlJc w:val="left"/>
      <w:pPr>
        <w:ind w:left="454" w:hanging="454"/>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12EA3D61"/>
    <w:multiLevelType w:val="multilevel"/>
    <w:tmpl w:val="D25EE078"/>
    <w:lvl w:ilvl="0">
      <w:numFmt w:val="bullet"/>
      <w:lvlText w:val=""/>
      <w:lvlJc w:val="left"/>
      <w:pPr>
        <w:ind w:left="720" w:hanging="360"/>
      </w:pPr>
      <w:rPr>
        <w:rFonts w:ascii="Symbol" w:hAnsi="Symbol"/>
        <w:color w:val="7030A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3572C85"/>
    <w:multiLevelType w:val="multilevel"/>
    <w:tmpl w:val="2AAA0C66"/>
    <w:styleLink w:val="LFO2"/>
    <w:lvl w:ilvl="0">
      <w:numFmt w:val="bullet"/>
      <w:pStyle w:val="ListBullet2"/>
      <w:lvlText w:val=""/>
      <w:lvlJc w:val="left"/>
      <w:pPr>
        <w:ind w:left="907" w:hanging="453"/>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38890FBD"/>
    <w:multiLevelType w:val="multilevel"/>
    <w:tmpl w:val="16DC7180"/>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9CB5540"/>
    <w:multiLevelType w:val="multilevel"/>
    <w:tmpl w:val="8334D6D6"/>
    <w:styleLink w:val="LFO9"/>
    <w:lvl w:ilvl="0">
      <w:start w:val="1"/>
      <w:numFmt w:val="decimal"/>
      <w:pStyle w:val="ListNumber4"/>
      <w:lvlText w:val="%1."/>
      <w:lvlJc w:val="left"/>
      <w:pPr>
        <w:ind w:left="1209"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40EE3F32"/>
    <w:multiLevelType w:val="multilevel"/>
    <w:tmpl w:val="47529C9C"/>
    <w:styleLink w:val="LFO10"/>
    <w:lvl w:ilvl="0">
      <w:start w:val="1"/>
      <w:numFmt w:val="decimal"/>
      <w:pStyle w:val="ListNumber5"/>
      <w:lvlText w:val="%1."/>
      <w:lvlJc w:val="left"/>
      <w:pPr>
        <w:ind w:left="1492"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433C0FC9"/>
    <w:multiLevelType w:val="multilevel"/>
    <w:tmpl w:val="945E6B90"/>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C2B4B97"/>
    <w:multiLevelType w:val="multilevel"/>
    <w:tmpl w:val="6AD00E86"/>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4CEB1525"/>
    <w:multiLevelType w:val="multilevel"/>
    <w:tmpl w:val="B47CAA18"/>
    <w:styleLink w:val="LFO8"/>
    <w:lvl w:ilvl="0">
      <w:start w:val="1"/>
      <w:numFmt w:val="decimal"/>
      <w:pStyle w:val="ListNumber3"/>
      <w:lvlText w:val="%1."/>
      <w:lvlJc w:val="left"/>
      <w:pPr>
        <w:ind w:left="926"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56EE3C39"/>
    <w:multiLevelType w:val="hybridMultilevel"/>
    <w:tmpl w:val="3F948D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4BF3D99"/>
    <w:multiLevelType w:val="multilevel"/>
    <w:tmpl w:val="AF500FDC"/>
    <w:styleLink w:val="LFO7"/>
    <w:lvl w:ilvl="0">
      <w:start w:val="1"/>
      <w:numFmt w:val="decimal"/>
      <w:pStyle w:val="ListNumber2"/>
      <w:lvlText w:val="%1."/>
      <w:lvlJc w:val="left"/>
      <w:pPr>
        <w:ind w:left="643"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67DB0953"/>
    <w:multiLevelType w:val="multilevel"/>
    <w:tmpl w:val="E5F218CE"/>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6F485CFD"/>
    <w:multiLevelType w:val="multilevel"/>
    <w:tmpl w:val="2EA0194C"/>
    <w:styleLink w:val="ArticleSection1"/>
    <w:lvl w:ilvl="0">
      <w:start w:val="1"/>
      <w:numFmt w:val="upperRoman"/>
      <w:lvlText w:val="Article %1."/>
      <w:lvlJc w:val="left"/>
    </w:lvl>
    <w:lvl w:ilvl="1">
      <w:start w:val="1"/>
      <w:numFmt w:val="decimalZero"/>
      <w:lvlText w:val="Section %1.%2"/>
      <w:lvlJc w:val="left"/>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77AE2B56"/>
    <w:multiLevelType w:val="multilevel"/>
    <w:tmpl w:val="8EF8300C"/>
    <w:styleLink w:val="LFO17"/>
    <w:lvl w:ilvl="0">
      <w:numFmt w:val="bullet"/>
      <w:pStyle w:val="BoxedBullet"/>
      <w:lvlText w:val=""/>
      <w:lvlJc w:val="left"/>
      <w:pPr>
        <w:ind w:left="454" w:hanging="454"/>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7B734E6C"/>
    <w:multiLevelType w:val="multilevel"/>
    <w:tmpl w:val="BAD62D8A"/>
    <w:styleLink w:val="LFO5"/>
    <w:lvl w:ilvl="0">
      <w:numFmt w:val="bullet"/>
      <w:pStyle w:val="ListBullet5"/>
      <w:lvlText w:val=""/>
      <w:lvlJc w:val="left"/>
      <w:pPr>
        <w:ind w:left="1492"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7E763BAE"/>
    <w:multiLevelType w:val="multilevel"/>
    <w:tmpl w:val="973E9176"/>
    <w:styleLink w:val="LFO3"/>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7"/>
  </w:num>
  <w:num w:numId="2">
    <w:abstractNumId w:val="4"/>
  </w:num>
  <w:num w:numId="3">
    <w:abstractNumId w:val="13"/>
  </w:num>
  <w:num w:numId="4">
    <w:abstractNumId w:val="0"/>
  </w:num>
  <w:num w:numId="5">
    <w:abstractNumId w:val="3"/>
  </w:num>
  <w:num w:numId="6">
    <w:abstractNumId w:val="16"/>
  </w:num>
  <w:num w:numId="7">
    <w:abstractNumId w:val="12"/>
  </w:num>
  <w:num w:numId="8">
    <w:abstractNumId w:val="15"/>
  </w:num>
  <w:num w:numId="9">
    <w:abstractNumId w:val="1"/>
  </w:num>
  <w:num w:numId="10">
    <w:abstractNumId w:val="11"/>
  </w:num>
  <w:num w:numId="11">
    <w:abstractNumId w:val="9"/>
  </w:num>
  <w:num w:numId="12">
    <w:abstractNumId w:val="5"/>
  </w:num>
  <w:num w:numId="13">
    <w:abstractNumId w:val="6"/>
  </w:num>
  <w:num w:numId="14">
    <w:abstractNumId w:val="14"/>
  </w:num>
  <w:num w:numId="15">
    <w:abstractNumId w:val="2"/>
  </w:num>
  <w:num w:numId="16">
    <w:abstractNumId w:val="8"/>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8C2"/>
    <w:rsid w:val="0004667E"/>
    <w:rsid w:val="00060052"/>
    <w:rsid w:val="000C1276"/>
    <w:rsid w:val="000F4C53"/>
    <w:rsid w:val="00132069"/>
    <w:rsid w:val="0013407A"/>
    <w:rsid w:val="001418C2"/>
    <w:rsid w:val="002025E4"/>
    <w:rsid w:val="00224554"/>
    <w:rsid w:val="00254DE1"/>
    <w:rsid w:val="002646BE"/>
    <w:rsid w:val="00292D42"/>
    <w:rsid w:val="002B69AD"/>
    <w:rsid w:val="002F392E"/>
    <w:rsid w:val="00382119"/>
    <w:rsid w:val="00461A5B"/>
    <w:rsid w:val="004701B5"/>
    <w:rsid w:val="00474CA4"/>
    <w:rsid w:val="0048474E"/>
    <w:rsid w:val="00540E68"/>
    <w:rsid w:val="005B408E"/>
    <w:rsid w:val="005F7301"/>
    <w:rsid w:val="006415BB"/>
    <w:rsid w:val="006823D8"/>
    <w:rsid w:val="00744724"/>
    <w:rsid w:val="00760C8A"/>
    <w:rsid w:val="00780D71"/>
    <w:rsid w:val="007C3302"/>
    <w:rsid w:val="00812A20"/>
    <w:rsid w:val="008178AC"/>
    <w:rsid w:val="00842290"/>
    <w:rsid w:val="0086356A"/>
    <w:rsid w:val="008D5AA7"/>
    <w:rsid w:val="008F0179"/>
    <w:rsid w:val="008F0D83"/>
    <w:rsid w:val="00921C21"/>
    <w:rsid w:val="0093434C"/>
    <w:rsid w:val="009B11EF"/>
    <w:rsid w:val="009E6492"/>
    <w:rsid w:val="00A00D48"/>
    <w:rsid w:val="00B221E0"/>
    <w:rsid w:val="00B80718"/>
    <w:rsid w:val="00BB05E6"/>
    <w:rsid w:val="00BD74FD"/>
    <w:rsid w:val="00C542D2"/>
    <w:rsid w:val="00CA393D"/>
    <w:rsid w:val="00D26120"/>
    <w:rsid w:val="00DC352B"/>
    <w:rsid w:val="00EE4B0B"/>
    <w:rsid w:val="00F001E1"/>
    <w:rsid w:val="00F42AAE"/>
    <w:rsid w:val="00F5219F"/>
    <w:rsid w:val="00F76671"/>
    <w:rsid w:val="00F94A28"/>
    <w:rsid w:val="00FE63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4042A3"/>
  <w15:docId w15:val="{8FD896F8-63EB-6744-8F3C-B8DFDDC89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88" w:lineRule="auto"/>
    </w:pPr>
    <w:rPr>
      <w:rFonts w:ascii="Arial" w:hAnsi="Arial"/>
      <w:sz w:val="24"/>
      <w:szCs w:val="24"/>
    </w:rPr>
  </w:style>
  <w:style w:type="paragraph" w:styleId="Heading1">
    <w:name w:val="heading 1"/>
    <w:next w:val="Heading2"/>
    <w:uiPriority w:val="9"/>
    <w:qFormat/>
    <w:pPr>
      <w:keepNext/>
      <w:pageBreakBefore/>
      <w:suppressAutoHyphens/>
      <w:spacing w:after="720"/>
      <w:outlineLvl w:val="0"/>
    </w:pPr>
    <w:rPr>
      <w:rFonts w:ascii="Arial" w:hAnsi="Arial" w:cs="Arial"/>
      <w:color w:val="8F23B3"/>
      <w:sz w:val="52"/>
      <w:szCs w:val="52"/>
    </w:rPr>
  </w:style>
  <w:style w:type="paragraph" w:styleId="Heading2">
    <w:name w:val="heading 2"/>
    <w:next w:val="BodyText"/>
    <w:uiPriority w:val="9"/>
    <w:unhideWhenUsed/>
    <w:qFormat/>
    <w:pPr>
      <w:keepNext/>
      <w:suppressAutoHyphens/>
      <w:spacing w:before="480" w:after="240"/>
      <w:outlineLvl w:val="1"/>
    </w:pPr>
    <w:rPr>
      <w:rFonts w:ascii="Arial" w:hAnsi="Arial"/>
      <w:b/>
      <w:color w:val="8F23B3"/>
      <w:sz w:val="32"/>
      <w:szCs w:val="32"/>
    </w:rPr>
  </w:style>
  <w:style w:type="paragraph" w:styleId="Heading3">
    <w:name w:val="heading 3"/>
    <w:next w:val="BodyText"/>
    <w:uiPriority w:val="9"/>
    <w:unhideWhenUsed/>
    <w:qFormat/>
    <w:pPr>
      <w:keepNext/>
      <w:suppressAutoHyphens/>
      <w:spacing w:before="120" w:after="120" w:line="288" w:lineRule="auto"/>
      <w:outlineLvl w:val="2"/>
    </w:pPr>
    <w:rPr>
      <w:rFonts w:ascii="Arial" w:hAnsi="Arial" w:cs="Arial"/>
      <w:b/>
      <w:color w:val="8F23B3"/>
      <w:sz w:val="28"/>
      <w:szCs w:val="28"/>
    </w:rPr>
  </w:style>
  <w:style w:type="paragraph" w:styleId="Heading4">
    <w:name w:val="heading 4"/>
    <w:next w:val="BodyText"/>
    <w:uiPriority w:val="9"/>
    <w:semiHidden/>
    <w:unhideWhenUsed/>
    <w:qFormat/>
    <w:pPr>
      <w:keepNext/>
      <w:suppressAutoHyphens/>
      <w:spacing w:after="120" w:line="288" w:lineRule="auto"/>
      <w:outlineLvl w:val="3"/>
    </w:pPr>
    <w:rPr>
      <w:rFonts w:ascii="Arial" w:hAnsi="Arial" w:cs="Arial"/>
      <w:b/>
      <w:color w:val="8F23B3"/>
      <w:sz w:val="24"/>
      <w:szCs w:val="24"/>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hAnsi="Times New Roman"/>
      <w:b/>
      <w:bCs/>
      <w:sz w:val="22"/>
      <w:szCs w:val="22"/>
    </w:rPr>
  </w:style>
  <w:style w:type="paragraph" w:styleId="Heading7">
    <w:name w:val="heading 7"/>
    <w:basedOn w:val="Normal"/>
    <w:next w:val="Normal"/>
    <w:pPr>
      <w:spacing w:before="240" w:after="60"/>
      <w:outlineLvl w:val="6"/>
    </w:pPr>
    <w:rPr>
      <w:rFonts w:ascii="Times New Roman" w:hAnsi="Times New Roman"/>
    </w:rPr>
  </w:style>
  <w:style w:type="paragraph" w:styleId="Heading8">
    <w:name w:val="heading 8"/>
    <w:basedOn w:val="Normal"/>
    <w:next w:val="Normal"/>
    <w:pPr>
      <w:spacing w:before="240" w:after="60"/>
      <w:outlineLvl w:val="7"/>
    </w:pPr>
    <w:rPr>
      <w:rFonts w:ascii="Times New Roman" w:hAnsi="Times New Roman"/>
      <w:i/>
      <w:iCs/>
    </w:rPr>
  </w:style>
  <w:style w:type="paragraph" w:styleId="Heading9">
    <w:name w:val="heading 9"/>
    <w:basedOn w:val="Normal"/>
    <w:next w:val="Normal"/>
    <w:pPr>
      <w:spacing w:before="240" w:after="60"/>
      <w:outlineLvl w:val="8"/>
    </w:pPr>
    <w:rPr>
      <w:rFonts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uppressAutoHyphens/>
      <w:spacing w:before="3960" w:after="120"/>
    </w:pPr>
    <w:rPr>
      <w:rFonts w:ascii="Arial" w:hAnsi="Arial" w:cs="Arial"/>
      <w:b/>
      <w:color w:val="8F23B3"/>
      <w:sz w:val="36"/>
      <w:szCs w:val="52"/>
    </w:rPr>
  </w:style>
  <w:style w:type="paragraph" w:customStyle="1" w:styleId="Title-subtitle">
    <w:name w:val="Title - subtitle"/>
    <w:pPr>
      <w:suppressAutoHyphens/>
      <w:spacing w:after="720"/>
    </w:pPr>
    <w:rPr>
      <w:rFonts w:ascii="Arial" w:hAnsi="Arial" w:cs="Arial"/>
      <w:color w:val="8F23B3"/>
      <w:sz w:val="36"/>
      <w:szCs w:val="52"/>
    </w:rPr>
  </w:style>
  <w:style w:type="paragraph" w:styleId="Header">
    <w:name w:val="header"/>
    <w:pPr>
      <w:suppressAutoHyphens/>
      <w:jc w:val="right"/>
    </w:pPr>
    <w:rPr>
      <w:rFonts w:ascii="Arial" w:hAnsi="Arial"/>
      <w:b/>
      <w:color w:val="8F23B3"/>
      <w:szCs w:val="24"/>
    </w:rPr>
  </w:style>
  <w:style w:type="paragraph" w:styleId="Footer">
    <w:name w:val="footer"/>
    <w:pPr>
      <w:suppressAutoHyphens/>
      <w:jc w:val="right"/>
    </w:pPr>
    <w:rPr>
      <w:rFonts w:ascii="Arial" w:hAnsi="Arial"/>
      <w:szCs w:val="24"/>
    </w:rPr>
  </w:style>
  <w:style w:type="paragraph" w:customStyle="1" w:styleId="Cover-Title">
    <w:name w:val="Cover - Title"/>
    <w:next w:val="Cover-Subtitle"/>
    <w:pPr>
      <w:suppressAutoHyphens/>
      <w:spacing w:after="120"/>
    </w:pPr>
    <w:rPr>
      <w:rFonts w:ascii="Arial" w:hAnsi="Arial" w:cs="Arial"/>
      <w:b/>
      <w:color w:val="8F23B3"/>
      <w:sz w:val="52"/>
      <w:szCs w:val="5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
    <w:name w:val="Body Text"/>
    <w:pPr>
      <w:suppressAutoHyphens/>
      <w:spacing w:after="240" w:line="288" w:lineRule="auto"/>
    </w:pPr>
    <w:rPr>
      <w:rFonts w:ascii="Arial" w:hAnsi="Arial"/>
      <w:sz w:val="24"/>
      <w:szCs w:val="24"/>
    </w:rPr>
  </w:style>
  <w:style w:type="paragraph" w:styleId="BodyTextFirstIndent">
    <w:name w:val="Body Text First Indent"/>
    <w:basedOn w:val="BodyText"/>
    <w:pPr>
      <w:ind w:firstLine="210"/>
    </w:pPr>
  </w:style>
  <w:style w:type="paragraph" w:styleId="BodyTextIndent">
    <w:name w:val="Body Text Indent"/>
    <w:pPr>
      <w:suppressAutoHyphens/>
      <w:spacing w:after="240" w:line="288" w:lineRule="auto"/>
      <w:ind w:left="454"/>
    </w:pPr>
    <w:rPr>
      <w:rFonts w:ascii="Arial" w:hAnsi="Arial"/>
      <w:sz w:val="24"/>
      <w:lang w:eastAsia="en-US"/>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customStyle="1" w:styleId="Aboutthisconsultation">
    <w:name w:val="About this consultation"/>
    <w:basedOn w:val="Heading2"/>
    <w:pPr>
      <w:pageBreakBefore/>
    </w:pPr>
  </w:style>
  <w:style w:type="paragraph" w:styleId="EnvelopeAddress">
    <w:name w:val="envelope address"/>
    <w:basedOn w:val="Normal"/>
    <w:pPr>
      <w:ind w:left="2880"/>
    </w:pPr>
    <w:rPr>
      <w:rFonts w:cs="Arial"/>
    </w:rPr>
  </w:style>
  <w:style w:type="paragraph" w:styleId="EnvelopeReturn">
    <w:name w:val="envelope return"/>
    <w:basedOn w:val="Normal"/>
    <w:rPr>
      <w:rFonts w:cs="Arial"/>
      <w:sz w:val="20"/>
      <w:szCs w:val="20"/>
    </w:rPr>
  </w:style>
  <w:style w:type="character" w:styleId="FollowedHyperlink">
    <w:name w:val="FollowedHyperlink"/>
    <w:rPr>
      <w:color w:val="800080"/>
      <w:u w:val="single"/>
    </w:rPr>
  </w:style>
  <w:style w:type="paragraph" w:styleId="FootnoteText">
    <w:name w:val="footnote text"/>
    <w:pPr>
      <w:suppressAutoHyphens/>
      <w:spacing w:after="60" w:line="288" w:lineRule="auto"/>
      <w:ind w:left="284" w:hanging="284"/>
    </w:pPr>
    <w:rPr>
      <w:rFonts w:ascii="Arial" w:hAnsi="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rPr>
      <w:color w:val="0563C1"/>
      <w:u w:val="single"/>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pPr>
      <w:numPr>
        <w:numId w:val="4"/>
      </w:numPr>
      <w:suppressAutoHyphens/>
      <w:spacing w:after="240" w:line="288" w:lineRule="auto"/>
    </w:pPr>
    <w:rPr>
      <w:rFonts w:ascii="Arial" w:hAnsi="Arial"/>
      <w:sz w:val="24"/>
      <w:szCs w:val="24"/>
    </w:rPr>
  </w:style>
  <w:style w:type="paragraph" w:styleId="ListBullet2">
    <w:name w:val="List Bullet 2"/>
    <w:pPr>
      <w:numPr>
        <w:numId w:val="5"/>
      </w:numPr>
      <w:tabs>
        <w:tab w:val="left" w:pos="-4535"/>
      </w:tabs>
      <w:suppressAutoHyphens/>
      <w:spacing w:after="240" w:line="288" w:lineRule="auto"/>
    </w:pPr>
    <w:rPr>
      <w:rFonts w:ascii="Arial" w:hAnsi="Arial"/>
      <w:sz w:val="24"/>
      <w:szCs w:val="24"/>
    </w:rPr>
  </w:style>
  <w:style w:type="paragraph" w:styleId="ListBullet3">
    <w:name w:val="List Bullet 3"/>
    <w:basedOn w:val="Normal"/>
    <w:pPr>
      <w:numPr>
        <w:numId w:val="6"/>
      </w:numPr>
    </w:pPr>
  </w:style>
  <w:style w:type="paragraph" w:styleId="ListBullet4">
    <w:name w:val="List Bullet 4"/>
    <w:basedOn w:val="Normal"/>
    <w:pPr>
      <w:numPr>
        <w:numId w:val="7"/>
      </w:numPr>
    </w:pPr>
  </w:style>
  <w:style w:type="paragraph" w:styleId="ListBullet5">
    <w:name w:val="List Bullet 5"/>
    <w:basedOn w:val="Normal"/>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pPr>
      <w:numPr>
        <w:numId w:val="9"/>
      </w:numPr>
      <w:suppressAutoHyphens/>
      <w:spacing w:after="240" w:line="288" w:lineRule="auto"/>
    </w:pPr>
    <w:rPr>
      <w:rFonts w:ascii="Arial" w:hAnsi="Arial"/>
      <w:sz w:val="24"/>
      <w:szCs w:val="24"/>
    </w:r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essageHeader">
    <w:name w:val="Message Header"/>
    <w:basedOn w:val="Normal"/>
    <w:pPr>
      <w:pBdr>
        <w:top w:val="single" w:sz="6" w:space="1" w:color="000000"/>
        <w:left w:val="single" w:sz="6" w:space="1" w:color="000000"/>
        <w:bottom w:val="single" w:sz="6" w:space="1" w:color="000000"/>
        <w:right w:val="single" w:sz="6" w:space="1" w:color="000000"/>
      </w:pBdr>
      <w:ind w:left="1134" w:hanging="1134"/>
    </w:pPr>
    <w:rPr>
      <w:rFonts w:cs="Arial"/>
    </w:rPr>
  </w:style>
  <w:style w:type="paragraph" w:styleId="NormalWeb">
    <w:name w:val="Normal (Web)"/>
    <w:basedOn w:val="Normal"/>
    <w:rPr>
      <w:rFonts w:ascii="Times New Roman" w:hAnsi="Times New Roman"/>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uiPriority w:val="11"/>
    <w:qFormat/>
    <w:pPr>
      <w:spacing w:after="60"/>
      <w:jc w:val="center"/>
      <w:outlineLvl w:val="1"/>
    </w:pPr>
    <w:rPr>
      <w:rFonts w:cs="Arial"/>
    </w:rPr>
  </w:style>
  <w:style w:type="paragraph" w:styleId="TOC1">
    <w:name w:val="toc 1"/>
    <w:pPr>
      <w:tabs>
        <w:tab w:val="right" w:pos="9639"/>
      </w:tabs>
      <w:suppressAutoHyphens/>
      <w:spacing w:before="240" w:after="120" w:line="288" w:lineRule="auto"/>
    </w:pPr>
    <w:rPr>
      <w:rFonts w:ascii="Arial" w:hAnsi="Arial"/>
      <w:sz w:val="24"/>
      <w:szCs w:val="24"/>
    </w:rPr>
  </w:style>
  <w:style w:type="paragraph" w:styleId="TOC2">
    <w:name w:val="toc 2"/>
    <w:pPr>
      <w:tabs>
        <w:tab w:val="right" w:pos="9639"/>
      </w:tabs>
      <w:suppressAutoHyphens/>
      <w:spacing w:before="120" w:after="120" w:line="288" w:lineRule="auto"/>
      <w:ind w:left="454"/>
    </w:pPr>
    <w:rPr>
      <w:rFonts w:ascii="Arial" w:hAnsi="Arial"/>
      <w:sz w:val="24"/>
      <w:szCs w:val="24"/>
    </w:rPr>
  </w:style>
  <w:style w:type="paragraph" w:styleId="TOC3">
    <w:name w:val="toc 3"/>
    <w:pPr>
      <w:tabs>
        <w:tab w:val="right" w:pos="9923"/>
      </w:tabs>
      <w:suppressAutoHyphens/>
      <w:spacing w:before="120" w:after="120"/>
      <w:ind w:left="907"/>
    </w:pPr>
    <w:rPr>
      <w:rFonts w:ascii="Arial" w:hAnsi="Arial"/>
      <w:sz w:val="24"/>
      <w:szCs w:val="24"/>
    </w:rPr>
  </w:style>
  <w:style w:type="paragraph" w:customStyle="1" w:styleId="Cover-Subtitle">
    <w:name w:val="Cover - Subtitle"/>
    <w:pPr>
      <w:suppressAutoHyphens/>
      <w:spacing w:after="720"/>
    </w:pPr>
    <w:rPr>
      <w:rFonts w:ascii="Arial" w:hAnsi="Arial" w:cs="Arial"/>
      <w:color w:val="8F23B3"/>
      <w:sz w:val="52"/>
      <w:szCs w:val="52"/>
    </w:rPr>
  </w:style>
  <w:style w:type="paragraph" w:customStyle="1" w:styleId="Cover-othertext">
    <w:name w:val="Cover - other text"/>
    <w:pPr>
      <w:suppressAutoHyphens/>
      <w:spacing w:after="240"/>
    </w:pPr>
    <w:rPr>
      <w:rFonts w:ascii="Arial" w:hAnsi="Arial"/>
      <w:sz w:val="32"/>
      <w:szCs w:val="24"/>
    </w:rPr>
  </w:style>
  <w:style w:type="paragraph" w:customStyle="1" w:styleId="BoxedText">
    <w:name w:val="Boxed Text"/>
    <w:pPr>
      <w:keepLines/>
      <w:pBdr>
        <w:top w:val="single" w:sz="8" w:space="4" w:color="8F23B3"/>
        <w:left w:val="single" w:sz="8" w:space="4" w:color="8F23B3"/>
        <w:bottom w:val="single" w:sz="8" w:space="4" w:color="8F23B3"/>
        <w:right w:val="single" w:sz="8" w:space="4" w:color="8F23B3"/>
      </w:pBdr>
      <w:shd w:val="clear" w:color="auto" w:fill="F4E9F7"/>
      <w:suppressAutoHyphens/>
      <w:spacing w:after="240" w:line="288" w:lineRule="auto"/>
    </w:pPr>
    <w:rPr>
      <w:rFonts w:ascii="Arial" w:hAnsi="Arial" w:cs="Courier New"/>
      <w:sz w:val="24"/>
      <w:szCs w:val="24"/>
    </w:rPr>
  </w:style>
  <w:style w:type="paragraph" w:customStyle="1" w:styleId="BoxedBullet">
    <w:name w:val="Boxed Bullet"/>
    <w:basedOn w:val="BoxedText"/>
    <w:pPr>
      <w:numPr>
        <w:numId w:val="14"/>
      </w:numPr>
    </w:pPr>
  </w:style>
  <w:style w:type="character" w:styleId="FootnoteReference">
    <w:name w:val="footnote reference"/>
    <w:rPr>
      <w:position w:val="0"/>
      <w:vertAlign w:val="superscript"/>
    </w:rPr>
  </w:style>
  <w:style w:type="paragraph" w:customStyle="1" w:styleId="cover-othertext0">
    <w:name w:val="cover - other text"/>
    <w:pPr>
      <w:suppressAutoHyphens/>
      <w:spacing w:line="360" w:lineRule="exact"/>
    </w:pPr>
    <w:rPr>
      <w:rFonts w:ascii="Arial" w:hAnsi="Arial"/>
      <w:sz w:val="24"/>
      <w:szCs w:val="24"/>
    </w:rPr>
  </w:style>
  <w:style w:type="paragraph" w:customStyle="1" w:styleId="Heading-contents">
    <w:name w:val="Heading - contents"/>
    <w:basedOn w:val="Heading1"/>
    <w:next w:val="Normal"/>
    <w:rPr>
      <w:rFonts w:cs="Times New Roman"/>
      <w:szCs w:val="20"/>
    </w:rPr>
  </w:style>
  <w:style w:type="paragraph" w:customStyle="1" w:styleId="Sub-heading">
    <w:name w:val="Sub-heading"/>
    <w:next w:val="Normal"/>
    <w:pPr>
      <w:keepNext/>
      <w:suppressAutoHyphens/>
      <w:spacing w:before="120" w:after="120"/>
    </w:pPr>
    <w:rPr>
      <w:rFonts w:ascii="Arial" w:hAnsi="Arial"/>
      <w:b/>
      <w:sz w:val="22"/>
      <w:lang w:eastAsia="en-US"/>
    </w:rPr>
  </w:style>
  <w:style w:type="character" w:customStyle="1" w:styleId="Heading2Char">
    <w:name w:val="Heading 2 Char"/>
    <w:rPr>
      <w:rFonts w:ascii="Arial" w:hAnsi="Arial"/>
      <w:b/>
      <w:color w:val="8F23B3"/>
      <w:sz w:val="32"/>
      <w:szCs w:val="32"/>
      <w:lang w:bidi="ar-SA"/>
    </w:rPr>
  </w:style>
  <w:style w:type="character" w:customStyle="1" w:styleId="AboutthisconsultationChar">
    <w:name w:val="About this consultation Char"/>
    <w:basedOn w:val="Heading2Char"/>
    <w:rPr>
      <w:rFonts w:ascii="Arial" w:hAnsi="Arial"/>
      <w:b/>
      <w:color w:val="8F23B3"/>
      <w:sz w:val="32"/>
      <w:szCs w:val="32"/>
      <w:lang w:bidi="ar-SA"/>
    </w:rPr>
  </w:style>
  <w:style w:type="paragraph" w:customStyle="1" w:styleId="Tableheading">
    <w:name w:val="Table heading"/>
    <w:basedOn w:val="BodyText"/>
    <w:pPr>
      <w:keepNext/>
      <w:keepLines/>
      <w:spacing w:before="240" w:after="120"/>
    </w:pPr>
    <w:rPr>
      <w:b/>
    </w:rPr>
  </w:style>
  <w:style w:type="paragraph" w:customStyle="1" w:styleId="TH">
    <w:name w:val="TH"/>
    <w:pPr>
      <w:suppressAutoHyphens/>
      <w:spacing w:line="288" w:lineRule="auto"/>
    </w:pPr>
    <w:rPr>
      <w:rFonts w:ascii="Arial" w:hAnsi="Arial"/>
      <w:b/>
      <w:sz w:val="24"/>
      <w:szCs w:val="24"/>
    </w:rPr>
  </w:style>
  <w:style w:type="paragraph" w:customStyle="1" w:styleId="TD">
    <w:name w:val="TD"/>
    <w:pPr>
      <w:suppressAutoHyphens/>
      <w:spacing w:line="288" w:lineRule="auto"/>
    </w:pPr>
    <w:rPr>
      <w:rFonts w:ascii="Arial" w:hAnsi="Arial"/>
      <w:sz w:val="24"/>
      <w:szCs w:val="24"/>
    </w:rPr>
  </w:style>
  <w:style w:type="character" w:customStyle="1" w:styleId="BodyTextChar">
    <w:name w:val="Body Text Char"/>
    <w:rPr>
      <w:rFonts w:ascii="Arial" w:hAnsi="Arial"/>
      <w:sz w:val="24"/>
      <w:szCs w:val="24"/>
      <w:lang w:bidi="ar-SA"/>
    </w:rPr>
  </w:style>
  <w:style w:type="paragraph" w:customStyle="1" w:styleId="Chartortableheading">
    <w:name w:val="Chart or table heading"/>
    <w:basedOn w:val="BodyText"/>
    <w:pPr>
      <w:keepNext/>
      <w:keepLines/>
      <w:spacing w:before="240" w:after="120"/>
    </w:pPr>
    <w:rPr>
      <w:b/>
    </w:rPr>
  </w:style>
  <w:style w:type="paragraph" w:styleId="TOCHeading">
    <w:name w:val="TOC Heading"/>
    <w:basedOn w:val="Heading1"/>
    <w:next w:val="Normal"/>
    <w:pPr>
      <w:keepLines/>
      <w:pageBreakBefore w:val="0"/>
      <w:spacing w:before="480" w:after="0" w:line="276" w:lineRule="auto"/>
    </w:pPr>
    <w:rPr>
      <w:rFonts w:ascii="Cambria" w:hAnsi="Cambria" w:cs="Times New Roman"/>
      <w:b/>
      <w:bCs/>
      <w:color w:val="365F91"/>
      <w:sz w:val="28"/>
      <w:szCs w:val="28"/>
      <w:lang w:val="en-US" w:eastAsia="en-US"/>
    </w:rPr>
  </w:style>
  <w:style w:type="paragraph" w:styleId="BalloonText">
    <w:name w:val="Balloon Text"/>
    <w:basedOn w:val="Normal"/>
    <w:pPr>
      <w:spacing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ListParagraph">
    <w:name w:val="List Paragraph"/>
    <w:basedOn w:val="Normal"/>
    <w:pPr>
      <w:spacing w:line="240" w:lineRule="auto"/>
      <w:ind w:left="720"/>
    </w:pPr>
    <w:rPr>
      <w:rFonts w:ascii="Arial (W1)" w:hAnsi="Arial (W1)"/>
    </w:rPr>
  </w:style>
  <w:style w:type="character" w:customStyle="1" w:styleId="ListParagraphChar">
    <w:name w:val="List Paragraph Char"/>
    <w:basedOn w:val="DefaultParagraphFont"/>
    <w:rPr>
      <w:rFonts w:ascii="Arial (W1)" w:hAnsi="Arial (W1)"/>
      <w:sz w:val="24"/>
      <w:szCs w:val="24"/>
    </w:rPr>
  </w:style>
  <w:style w:type="character" w:customStyle="1" w:styleId="FooterChar">
    <w:name w:val="Footer Char"/>
    <w:basedOn w:val="DefaultParagraphFont"/>
    <w:rPr>
      <w:rFonts w:ascii="Arial" w:hAnsi="Arial"/>
      <w:szCs w:val="24"/>
    </w:rPr>
  </w:style>
  <w:style w:type="character" w:styleId="UnresolvedMention">
    <w:name w:val="Unresolved Mention"/>
    <w:basedOn w:val="DefaultParagraphFont"/>
    <w:rPr>
      <w:color w:val="605E5C"/>
      <w:shd w:val="clear" w:color="auto" w:fill="E1DFDD"/>
    </w:rPr>
  </w:style>
  <w:style w:type="paragraph" w:styleId="Revision">
    <w:name w:val="Revision"/>
    <w:pPr>
      <w:textAlignment w:val="auto"/>
    </w:pPr>
    <w:rPr>
      <w:rFonts w:ascii="Arial" w:hAnsi="Arial"/>
      <w:sz w:val="24"/>
      <w:szCs w:val="24"/>
    </w:rPr>
  </w:style>
  <w:style w:type="numbering" w:customStyle="1" w:styleId="1111111">
    <w:name w:val="1 / 1.1 / 1.1.11"/>
    <w:basedOn w:val="NoList"/>
    <w:pPr>
      <w:numPr>
        <w:numId w:val="1"/>
      </w:numPr>
    </w:pPr>
  </w:style>
  <w:style w:type="numbering" w:customStyle="1" w:styleId="1ai1">
    <w:name w:val="1 / a / i1"/>
    <w:basedOn w:val="NoList"/>
    <w:pPr>
      <w:numPr>
        <w:numId w:val="2"/>
      </w:numPr>
    </w:pPr>
  </w:style>
  <w:style w:type="numbering" w:customStyle="1" w:styleId="ArticleSection1">
    <w:name w:val="Article / Section1"/>
    <w:basedOn w:val="NoList"/>
    <w:pPr>
      <w:numPr>
        <w:numId w:val="3"/>
      </w:numPr>
    </w:pPr>
  </w:style>
  <w:style w:type="numbering" w:customStyle="1" w:styleId="LFO1">
    <w:name w:val="LFO1"/>
    <w:basedOn w:val="NoList"/>
    <w:pPr>
      <w:numPr>
        <w:numId w:val="4"/>
      </w:numPr>
    </w:pPr>
  </w:style>
  <w:style w:type="numbering" w:customStyle="1" w:styleId="LFO2">
    <w:name w:val="LFO2"/>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5">
    <w:name w:val="LFO5"/>
    <w:basedOn w:val="NoList"/>
    <w:pPr>
      <w:numPr>
        <w:numId w:val="8"/>
      </w:numPr>
    </w:pPr>
  </w:style>
  <w:style w:type="numbering" w:customStyle="1" w:styleId="LFO6">
    <w:name w:val="LFO6"/>
    <w:basedOn w:val="NoList"/>
    <w:pPr>
      <w:numPr>
        <w:numId w:val="9"/>
      </w:numPr>
    </w:pPr>
  </w:style>
  <w:style w:type="numbering" w:customStyle="1" w:styleId="LFO7">
    <w:name w:val="LFO7"/>
    <w:basedOn w:val="NoList"/>
    <w:pPr>
      <w:numPr>
        <w:numId w:val="10"/>
      </w:numPr>
    </w:pPr>
  </w:style>
  <w:style w:type="numbering" w:customStyle="1" w:styleId="LFO8">
    <w:name w:val="LFO8"/>
    <w:basedOn w:val="NoList"/>
    <w:pPr>
      <w:numPr>
        <w:numId w:val="11"/>
      </w:numPr>
    </w:pPr>
  </w:style>
  <w:style w:type="numbering" w:customStyle="1" w:styleId="LFO9">
    <w:name w:val="LFO9"/>
    <w:basedOn w:val="NoList"/>
    <w:pPr>
      <w:numPr>
        <w:numId w:val="12"/>
      </w:numPr>
    </w:pPr>
  </w:style>
  <w:style w:type="numbering" w:customStyle="1" w:styleId="LFO10">
    <w:name w:val="LFO10"/>
    <w:basedOn w:val="NoList"/>
    <w:pPr>
      <w:numPr>
        <w:numId w:val="13"/>
      </w:numPr>
    </w:pPr>
  </w:style>
  <w:style w:type="numbering" w:customStyle="1" w:styleId="LFO17">
    <w:name w:val="LFO17"/>
    <w:basedOn w:val="NoList"/>
    <w:pPr>
      <w:numPr>
        <w:numId w:val="14"/>
      </w:numPr>
    </w:pPr>
  </w:style>
  <w:style w:type="table" w:styleId="TableGrid">
    <w:name w:val="Table Grid"/>
    <w:basedOn w:val="TableNormal"/>
    <w:uiPriority w:val="39"/>
    <w:rsid w:val="007447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287646">
      <w:bodyDiv w:val="1"/>
      <w:marLeft w:val="0"/>
      <w:marRight w:val="0"/>
      <w:marTop w:val="0"/>
      <w:marBottom w:val="0"/>
      <w:divBdr>
        <w:top w:val="none" w:sz="0" w:space="0" w:color="auto"/>
        <w:left w:val="none" w:sz="0" w:space="0" w:color="auto"/>
        <w:bottom w:val="none" w:sz="0" w:space="0" w:color="auto"/>
        <w:right w:val="none" w:sz="0" w:space="0" w:color="auto"/>
      </w:divBdr>
      <w:divsChild>
        <w:div w:id="1292788880">
          <w:marLeft w:val="0"/>
          <w:marRight w:val="0"/>
          <w:marTop w:val="0"/>
          <w:marBottom w:val="0"/>
          <w:divBdr>
            <w:top w:val="none" w:sz="0" w:space="0" w:color="auto"/>
            <w:left w:val="none" w:sz="0" w:space="0" w:color="auto"/>
            <w:bottom w:val="none" w:sz="0" w:space="0" w:color="auto"/>
            <w:right w:val="none" w:sz="0" w:space="0" w:color="auto"/>
          </w:divBdr>
        </w:div>
        <w:div w:id="239949508">
          <w:marLeft w:val="0"/>
          <w:marRight w:val="0"/>
          <w:marTop w:val="0"/>
          <w:marBottom w:val="0"/>
          <w:divBdr>
            <w:top w:val="none" w:sz="0" w:space="0" w:color="auto"/>
            <w:left w:val="none" w:sz="0" w:space="0" w:color="auto"/>
            <w:bottom w:val="none" w:sz="0" w:space="0" w:color="auto"/>
            <w:right w:val="none" w:sz="0" w:space="0" w:color="auto"/>
          </w:divBdr>
        </w:div>
        <w:div w:id="913397042">
          <w:marLeft w:val="0"/>
          <w:marRight w:val="0"/>
          <w:marTop w:val="0"/>
          <w:marBottom w:val="0"/>
          <w:divBdr>
            <w:top w:val="none" w:sz="0" w:space="0" w:color="auto"/>
            <w:left w:val="none" w:sz="0" w:space="0" w:color="auto"/>
            <w:bottom w:val="none" w:sz="0" w:space="0" w:color="auto"/>
            <w:right w:val="none" w:sz="0" w:space="0" w:color="auto"/>
          </w:divBdr>
        </w:div>
      </w:divsChild>
    </w:div>
    <w:div w:id="1588614086">
      <w:bodyDiv w:val="1"/>
      <w:marLeft w:val="0"/>
      <w:marRight w:val="0"/>
      <w:marTop w:val="0"/>
      <w:marBottom w:val="0"/>
      <w:divBdr>
        <w:top w:val="none" w:sz="0" w:space="0" w:color="auto"/>
        <w:left w:val="none" w:sz="0" w:space="0" w:color="auto"/>
        <w:bottom w:val="none" w:sz="0" w:space="0" w:color="auto"/>
        <w:right w:val="none" w:sz="0" w:space="0" w:color="auto"/>
      </w:divBdr>
    </w:div>
    <w:div w:id="19725174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cademic.oup.com/jid/article/135/Supplement/S111/915169"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cbi.nlm.nih.gov/pmc/articles/PMC20485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HO document" ma:contentTypeID="0x010100A5BF1C78D9F64B679A5EBDE1C6598EBC0100817019FA8029E644BD910165C64226B8" ma:contentTypeVersion="19" ma:contentTypeDescription="Create a new document." ma:contentTypeScope="" ma:versionID="099dfd93a0a337531640a158be215a06">
  <xsd:schema xmlns:xsd="http://www.w3.org/2001/XMLSchema" xmlns:xs="http://www.w3.org/2001/XMLSchema" xmlns:p="http://schemas.microsoft.com/office/2006/metadata/properties" xmlns:ns2="4e9417ab-6472-4075-af16-7dc6074df91e" xmlns:ns3="97746173-3ca5-44fe-8819-f43204170187" xmlns:ns4="9c934013-efd2-490e-95ee-ac1ae80e77bf" targetNamespace="http://schemas.microsoft.com/office/2006/metadata/properties" ma:root="true" ma:fieldsID="f183f0fca786b2abaea6ac57aff5ca19" ns2:_="" ns3:_="" ns4:_="">
    <xsd:import namespace="4e9417ab-6472-4075-af16-7dc6074df91e"/>
    <xsd:import namespace="97746173-3ca5-44fe-8819-f43204170187"/>
    <xsd:import namespace="9c934013-efd2-490e-95ee-ac1ae80e77bf"/>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jb5e598af17141539648acf311d7477b" minOccurs="0"/>
                <xsd:element ref="ns2:n7493b4506bf40e28c373b1e51a33445" minOccurs="0"/>
                <xsd:element ref="ns2:HOMigrate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Flow_SignoffStatus"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417ab-6472-4075-af16-7dc6074df91e"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1;#Official|14c80daa-741b-422c-9722-f71693c9ede4" ma:fieldId="{5ae2bfa7-b647-4897-ab4a-53f76ea236c7}" ma:sspId="93e580ec-c125-41f3-a307-e1c841722a86"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d00e2de-71d2-48c2-918f-c4d2a23493dd}" ma:internalName="TaxCatchAll" ma:showField="CatchAllData"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d00e2de-71d2-48c2-918f-c4d2a23493dd}" ma:internalName="TaxCatchAllLabel" ma:readOnly="true" ma:showField="CatchAllDataLabel"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2;#Crown|69589897-2828-4761-976e-717fd8e631c9" ma:fieldId="{cf401361-b24e-474c-b011-be6eb76c0e76}" ma:sspId="93e580ec-c125-41f3-a307-e1c841722a86" ma:termSetId="bdd694c6-7266-48f2-93d6-d15992cd203e" ma:anchorId="00000000-0000-0000-0000-000000000000" ma:open="false" ma:isKeyword="false">
      <xsd:complexType>
        <xsd:sequence>
          <xsd:element ref="pc:Terms" minOccurs="0" maxOccurs="1"/>
        </xsd:sequence>
      </xsd:complexType>
    </xsd:element>
    <xsd:element name="jb5e598af17141539648acf311d7477b" ma:index="14" nillable="true" ma:taxonomy="true" ma:internalName="jb5e598af17141539648acf311d7477b" ma:taxonomyFieldName="HOBusinessUnit" ma:displayName="Business unit" ma:default="3;#Animal Science Regulation Unit (ASRU)|8490554c-64c6-4a68-a493-0502b3e30dea" ma:fieldId="{3b5e598a-f171-4153-9648-acf311d7477b}" ma:sspId="93e580ec-c125-41f3-a307-e1c841722a86" ma:termSetId="55eb802e-fbca-455b-a7d2-d5919d4ea3d2" ma:anchorId="00000000-0000-0000-0000-000000000000" ma:open="false" ma:isKeyword="false">
      <xsd:complexType>
        <xsd:sequence>
          <xsd:element ref="pc:Terms" minOccurs="0" maxOccurs="1"/>
        </xsd:sequence>
      </xsd:complexType>
    </xsd:element>
    <xsd:element name="n7493b4506bf40e28c373b1e51a33445" ma:index="16" nillable="true" ma:taxonomy="true" ma:internalName="n7493b4506bf40e28c373b1e51a33445" ma:taxonomyFieldName="HOSiteType" ma:displayName="Site type" ma:default="4;#Process – Standard|cf511cbb-bd16-4156-ac78-90d0c4fce91f" ma:fieldId="{77493b45-06bf-40e2-8c37-3b1e51a33445}" ma:sspId="93e580ec-c125-41f3-a307-e1c841722a86" ma:termSetId="4518b03a-1a05-49af-8bf2-e5548589f21b" ma:anchorId="00000000-0000-0000-0000-000000000000" ma:open="false" ma:isKeyword="false">
      <xsd:complexType>
        <xsd:sequence>
          <xsd:element ref="pc:Terms" minOccurs="0" maxOccurs="1"/>
        </xsd:sequence>
      </xsd:complexType>
    </xsd:element>
    <xsd:element name="HOMigrated" ma:index="18" nillable="true" ma:displayName="Migrated" ma:default="0" ma:internalName="HOMig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7746173-3ca5-44fe-8819-f43204170187"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DateTaken" ma:index="29" nillable="true" ma:displayName="MediaServiceDateTaken" ma:hidden="true" ma:internalName="MediaServiceDateTaken" ma:readOnly="true">
      <xsd:simpleType>
        <xsd:restriction base="dms:Text"/>
      </xsd:simpleType>
    </xsd:element>
    <xsd:element name="MediaServiceLocation" ma:index="30" nillable="true" ma:displayName="Location" ma:internalName="MediaServiceLocation" ma:readOnly="true">
      <xsd:simpleType>
        <xsd:restriction base="dms:Text"/>
      </xsd:simpleType>
    </xsd:element>
    <xsd:element name="_Flow_SignoffStatus" ma:index="31" nillable="true" ma:displayName="Sign-off status" ma:internalName="Sign_x002d_off_x0020_status">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93e580ec-c125-41f3-a307-e1c841722a8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c934013-efd2-490e-95ee-ac1ae80e77bf"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e9417ab-6472-4075-af16-7dc6074df91e">
      <Value>4</Value>
      <Value>3</Value>
      <Value>2</Value>
      <Value>1</Value>
    </TaxCatchAll>
    <_Flow_SignoffStatus xmlns="97746173-3ca5-44fe-8819-f43204170187" xsi:nil="true"/>
    <lcf76f155ced4ddcb4097134ff3c332f xmlns="97746173-3ca5-44fe-8819-f43204170187">
      <Terms xmlns="http://schemas.microsoft.com/office/infopath/2007/PartnerControls"/>
    </lcf76f155ced4ddcb4097134ff3c332f>
    <n7493b4506bf40e28c373b1e51a33445 xmlns="4e9417ab-6472-4075-af16-7dc6074df91e">
      <Terms xmlns="http://schemas.microsoft.com/office/infopath/2007/PartnerControls">
        <TermInfo xmlns="http://schemas.microsoft.com/office/infopath/2007/PartnerControls">
          <TermName xmlns="http://schemas.microsoft.com/office/infopath/2007/PartnerControls">Process – Standard</TermName>
          <TermId xmlns="http://schemas.microsoft.com/office/infopath/2007/PartnerControls">cf511cbb-bd16-4156-ac78-90d0c4fce91f</TermId>
        </TermInfo>
      </Terms>
    </n7493b4506bf40e28c373b1e51a33445>
    <cf401361b24e474cb011be6eb76c0e76 xmlns="4e9417ab-6472-4075-af16-7dc6074df91e">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HOMigrated xmlns="4e9417ab-6472-4075-af16-7dc6074df91e">false</HOMigrated>
    <lae2bfa7b6474897ab4a53f76ea236c7 xmlns="4e9417ab-6472-4075-af16-7dc6074df91e">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jb5e598af17141539648acf311d7477b xmlns="4e9417ab-6472-4075-af16-7dc6074df91e">
      <Terms xmlns="http://schemas.microsoft.com/office/infopath/2007/PartnerControls">
        <TermInfo xmlns="http://schemas.microsoft.com/office/infopath/2007/PartnerControls">
          <TermName xmlns="http://schemas.microsoft.com/office/infopath/2007/PartnerControls">Animal Science Regulation Unit (ASRU)</TermName>
          <TermId xmlns="http://schemas.microsoft.com/office/infopath/2007/PartnerControls">8490554c-64c6-4a68-a493-0502b3e30dea</TermId>
        </TermInfo>
      </Terms>
    </jb5e598af17141539648acf311d7477b>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93e580ec-c125-41f3-a307-e1c841722a86" ContentTypeId="0x010100A5BF1C78D9F64B679A5EBDE1C6598EBC01" PreviousValue="false"/>
</file>

<file path=customXml/itemProps1.xml><?xml version="1.0" encoding="utf-8"?>
<ds:datastoreItem xmlns:ds="http://schemas.openxmlformats.org/officeDocument/2006/customXml" ds:itemID="{3B9CD6C9-C4AF-46AB-B1D8-BE7E93DFBB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417ab-6472-4075-af16-7dc6074df91e"/>
    <ds:schemaRef ds:uri="97746173-3ca5-44fe-8819-f43204170187"/>
    <ds:schemaRef ds:uri="9c934013-efd2-490e-95ee-ac1ae80e7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F343C5-BD09-4E66-9367-9D3824C65E14}">
  <ds:schemaRefs>
    <ds:schemaRef ds:uri="http://schemas.microsoft.com/office/2006/metadata/properties"/>
    <ds:schemaRef ds:uri="http://schemas.microsoft.com/office/infopath/2007/PartnerControls"/>
    <ds:schemaRef ds:uri="4e9417ab-6472-4075-af16-7dc6074df91e"/>
    <ds:schemaRef ds:uri="97746173-3ca5-44fe-8819-f43204170187"/>
  </ds:schemaRefs>
</ds:datastoreItem>
</file>

<file path=customXml/itemProps3.xml><?xml version="1.0" encoding="utf-8"?>
<ds:datastoreItem xmlns:ds="http://schemas.openxmlformats.org/officeDocument/2006/customXml" ds:itemID="{C203D56A-13C8-4D0C-BE12-A560486BDCE5}">
  <ds:schemaRefs>
    <ds:schemaRef ds:uri="http://schemas.microsoft.com/sharepoint/v3/contenttype/forms"/>
  </ds:schemaRefs>
</ds:datastoreItem>
</file>

<file path=customXml/itemProps4.xml><?xml version="1.0" encoding="utf-8"?>
<ds:datastoreItem xmlns:ds="http://schemas.openxmlformats.org/officeDocument/2006/customXml" ds:itemID="{24C63953-D1A9-4E03-96F4-90CF3E30959F}">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Pages>
  <Words>1645</Words>
  <Characters>9379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Noelia Lopez-Salesansky (ASRU)</cp:lastModifiedBy>
  <cp:revision>46</cp:revision>
  <cp:lastPrinted>2018-05-03T15:27:00Z</cp:lastPrinted>
  <dcterms:created xsi:type="dcterms:W3CDTF">2022-08-09T07:05:00Z</dcterms:created>
  <dcterms:modified xsi:type="dcterms:W3CDTF">2022-08-09T15:17:00Z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0x010100A5BF1C78D9F64B679A5EBDE1C6598EBC0100817019FA8029E644BD910165C64226B8</vt:lpwstr>
  </property>
  <property fmtid="{D5CDD505-2E9C-101B-9397-08002B2CF9AE}" pid="3" name="MediaServiceImageTags">
    <vt:lpwstr/>
  </property>
  <property fmtid="{D5CDD505-2E9C-101B-9397-08002B2CF9AE}" pid="4" name="HOBusinessUnit">
    <vt:lpwstr>3;#Animal Science Regulation Unit (ASRU)|8490554c-64c6-4a68-a493-0502b3e30dea</vt:lpwstr>
  </property>
  <property fmtid="{D5CDD505-2E9C-101B-9397-08002B2CF9AE}" pid="5" name="HOCopyrightLevel">
    <vt:lpwstr>2;#Crown|69589897-2828-4761-976e-717fd8e631c9</vt:lpwstr>
  </property>
  <property fmtid="{D5CDD505-2E9C-101B-9397-08002B2CF9AE}" pid="6" name="HOGovernmentSecurityClassification">
    <vt:lpwstr>1;#Official|14c80daa-741b-422c-9722-f71693c9ede4</vt:lpwstr>
  </property>
  <property fmtid="{D5CDD505-2E9C-101B-9397-08002B2CF9AE}" pid="7" name="HOSiteType">
    <vt:lpwstr>4;#Process – Standard|cf511cbb-bd16-4156-ac78-90d0c4fce91f</vt:lpwstr>
  </property>
</Properties>
</file>