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57B5E" w14:textId="16F4BBBA" w:rsidR="007D36E6" w:rsidRDefault="008C3E5E">
      <w:r>
        <w:rPr>
          <w:noProof/>
        </w:rPr>
        <w:drawing>
          <wp:inline distT="0" distB="0" distL="0" distR="0" wp14:anchorId="57E782B1" wp14:editId="7945D223">
            <wp:extent cx="2219325" cy="752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19325" cy="752475"/>
                    </a:xfrm>
                    <a:prstGeom prst="rect">
                      <a:avLst/>
                    </a:prstGeom>
                    <a:noFill/>
                  </pic:spPr>
                </pic:pic>
              </a:graphicData>
            </a:graphic>
          </wp:inline>
        </w:drawing>
      </w:r>
    </w:p>
    <w:p w14:paraId="75C3E565" w14:textId="77777777" w:rsidR="008C3E5E" w:rsidRPr="008C3E5E" w:rsidRDefault="008C3E5E" w:rsidP="008C3E5E">
      <w:pPr>
        <w:shd w:val="clear" w:color="auto" w:fill="FFFFFF"/>
        <w:spacing w:after="300" w:line="288" w:lineRule="atLeast"/>
        <w:ind w:left="45"/>
        <w:outlineLvl w:val="0"/>
        <w:rPr>
          <w:rFonts w:ascii="Arial" w:eastAsia="Times New Roman" w:hAnsi="Arial" w:cs="Arial"/>
          <w:kern w:val="36"/>
          <w:sz w:val="54"/>
          <w:szCs w:val="54"/>
          <w:lang w:eastAsia="en-GB"/>
        </w:rPr>
      </w:pPr>
      <w:r w:rsidRPr="008C3E5E">
        <w:rPr>
          <w:rFonts w:ascii="Arial" w:eastAsia="Times New Roman" w:hAnsi="Arial" w:cs="Arial"/>
          <w:kern w:val="36"/>
          <w:sz w:val="54"/>
          <w:szCs w:val="54"/>
          <w:lang w:eastAsia="en-GB"/>
        </w:rPr>
        <w:t>Animal-free in vitro technologies</w:t>
      </w:r>
    </w:p>
    <w:p w14:paraId="72D7B3C8" w14:textId="77777777" w:rsidR="00166932" w:rsidRDefault="00166932" w:rsidP="00166932">
      <w:pPr>
        <w:rPr>
          <w:rFonts w:ascii="Arial" w:hAnsi="Arial" w:cs="Arial"/>
          <w:sz w:val="20"/>
          <w:szCs w:val="20"/>
        </w:rPr>
      </w:pPr>
      <w:hyperlink r:id="rId8" w:history="1">
        <w:r w:rsidRPr="006B7312">
          <w:rPr>
            <w:rStyle w:val="Hyperlink"/>
            <w:rFonts w:ascii="Arial" w:hAnsi="Arial" w:cs="Arial"/>
            <w:sz w:val="20"/>
            <w:szCs w:val="20"/>
          </w:rPr>
          <w:t>https://nc3rs.org.uk/animal-free-in-vitro-technologies</w:t>
        </w:r>
      </w:hyperlink>
    </w:p>
    <w:p w14:paraId="491BC3BE" w14:textId="7E11ED67" w:rsidR="008C3E5E" w:rsidRPr="00392918" w:rsidRDefault="008C3E5E" w:rsidP="008C3E5E">
      <w:pPr>
        <w:pStyle w:val="NormalWeb"/>
        <w:shd w:val="clear" w:color="auto" w:fill="FFFFFF"/>
        <w:spacing w:before="0" w:beforeAutospacing="0" w:after="360" w:afterAutospacing="0"/>
        <w:rPr>
          <w:rFonts w:ascii="Arial" w:hAnsi="Arial" w:cs="Arial"/>
          <w:color w:val="000000"/>
          <w:sz w:val="20"/>
          <w:szCs w:val="20"/>
        </w:rPr>
      </w:pPr>
      <w:r w:rsidRPr="00392918">
        <w:rPr>
          <w:rFonts w:ascii="Arial" w:hAnsi="Arial" w:cs="Arial"/>
          <w:color w:val="000000"/>
          <w:sz w:val="20"/>
          <w:szCs w:val="20"/>
        </w:rPr>
        <w:t xml:space="preserve">The quality, consistency of formulation, and lack of validation of reagents used in scientific research has been identified as a major contributing factor to poor reproducibility [1]. Many of these reagents such as antibodies and </w:t>
      </w:r>
      <w:proofErr w:type="spellStart"/>
      <w:r w:rsidRPr="00392918">
        <w:rPr>
          <w:rFonts w:ascii="Arial" w:hAnsi="Arial" w:cs="Arial"/>
          <w:color w:val="000000"/>
          <w:sz w:val="20"/>
          <w:szCs w:val="20"/>
        </w:rPr>
        <w:t>fetal</w:t>
      </w:r>
      <w:proofErr w:type="spellEnd"/>
      <w:r w:rsidRPr="00392918">
        <w:rPr>
          <w:rFonts w:ascii="Arial" w:hAnsi="Arial" w:cs="Arial"/>
          <w:color w:val="000000"/>
          <w:sz w:val="20"/>
          <w:szCs w:val="20"/>
        </w:rPr>
        <w:t xml:space="preserve"> bovine serum are derived from animals, raising scientific and animal welfare concerns. There is a concerted effort across the biosciences to adopt human-based </w:t>
      </w:r>
      <w:r w:rsidRPr="00392918">
        <w:rPr>
          <w:rStyle w:val="Emphasis"/>
          <w:rFonts w:ascii="Arial" w:hAnsi="Arial" w:cs="Arial"/>
          <w:color w:val="000000"/>
          <w:sz w:val="20"/>
          <w:szCs w:val="20"/>
        </w:rPr>
        <w:t>in vitro</w:t>
      </w:r>
      <w:r w:rsidRPr="00392918">
        <w:rPr>
          <w:rFonts w:ascii="Arial" w:hAnsi="Arial" w:cs="Arial"/>
          <w:color w:val="000000"/>
          <w:sz w:val="20"/>
          <w:szCs w:val="20"/>
        </w:rPr>
        <w:t> assays to replace animal models where possible and increase the predictivity of preclinical research [2]. However, the use of animal-derived reagents in these assays brings into question the validity, utility and robustness of these approaches and presents a barrier to their more widespread adoption.</w:t>
      </w:r>
    </w:p>
    <w:p w14:paraId="493135ED" w14:textId="77777777" w:rsidR="008C3E5E" w:rsidRPr="00392918" w:rsidRDefault="008C3E5E" w:rsidP="008C3E5E">
      <w:pPr>
        <w:pStyle w:val="NormalWeb"/>
        <w:shd w:val="clear" w:color="auto" w:fill="FFFFFF"/>
        <w:spacing w:before="0" w:beforeAutospacing="0" w:after="360" w:afterAutospacing="0"/>
        <w:rPr>
          <w:rFonts w:ascii="Arial" w:hAnsi="Arial" w:cs="Arial"/>
          <w:color w:val="000000"/>
          <w:sz w:val="20"/>
          <w:szCs w:val="20"/>
        </w:rPr>
      </w:pPr>
      <w:r w:rsidRPr="00392918">
        <w:rPr>
          <w:rFonts w:ascii="Arial" w:hAnsi="Arial" w:cs="Arial"/>
          <w:color w:val="000000"/>
          <w:sz w:val="20"/>
          <w:szCs w:val="20"/>
        </w:rPr>
        <w:t>The technology now exists to replace many of these animal-derived reagents with animal-free products. This resource provides information and guidance for adopting animal-free reagents both within individual laboratories and, in the long-term, whole institutions to deliver improved science, increased reproducibility and reduced animal use. Find out more about each animal-free technology using the categories below.</w:t>
      </w:r>
    </w:p>
    <w:p w14:paraId="7FEEA022" w14:textId="77777777" w:rsidR="008C3E5E" w:rsidRPr="00392918" w:rsidRDefault="008C3E5E" w:rsidP="008C3E5E">
      <w:pPr>
        <w:pStyle w:val="NormalWeb"/>
        <w:shd w:val="clear" w:color="auto" w:fill="FFFFFF"/>
        <w:spacing w:before="0" w:beforeAutospacing="0" w:after="360" w:afterAutospacing="0"/>
        <w:rPr>
          <w:rFonts w:ascii="Arial" w:hAnsi="Arial" w:cs="Arial"/>
          <w:color w:val="000000"/>
          <w:sz w:val="20"/>
          <w:szCs w:val="20"/>
        </w:rPr>
      </w:pPr>
      <w:r w:rsidRPr="00392918">
        <w:rPr>
          <w:rFonts w:ascii="Arial" w:hAnsi="Arial" w:cs="Arial"/>
          <w:color w:val="000000"/>
          <w:sz w:val="20"/>
          <w:szCs w:val="20"/>
        </w:rPr>
        <w:t>We also support novel approaches to develop and implement animal-free </w:t>
      </w:r>
      <w:r w:rsidRPr="00392918">
        <w:rPr>
          <w:rStyle w:val="Emphasis"/>
          <w:rFonts w:ascii="Arial" w:hAnsi="Arial" w:cs="Arial"/>
          <w:color w:val="000000"/>
          <w:sz w:val="20"/>
          <w:szCs w:val="20"/>
        </w:rPr>
        <w:t>in vitro</w:t>
      </w:r>
      <w:r w:rsidRPr="00392918">
        <w:rPr>
          <w:rFonts w:ascii="Arial" w:hAnsi="Arial" w:cs="Arial"/>
          <w:color w:val="000000"/>
          <w:sz w:val="20"/>
          <w:szCs w:val="20"/>
        </w:rPr>
        <w:t> reagents through our </w:t>
      </w:r>
      <w:hyperlink r:id="rId9" w:history="1">
        <w:r w:rsidRPr="00392918">
          <w:rPr>
            <w:rStyle w:val="Hyperlink"/>
            <w:rFonts w:ascii="Arial" w:hAnsi="Arial" w:cs="Arial"/>
            <w:color w:val="006699"/>
            <w:sz w:val="20"/>
            <w:szCs w:val="20"/>
            <w:u w:val="none"/>
          </w:rPr>
          <w:t>Research Funding schemes</w:t>
        </w:r>
      </w:hyperlink>
      <w:r w:rsidRPr="00392918">
        <w:rPr>
          <w:rFonts w:ascii="Arial" w:hAnsi="Arial" w:cs="Arial"/>
          <w:color w:val="000000"/>
          <w:sz w:val="20"/>
          <w:szCs w:val="20"/>
        </w:rPr>
        <w:t> and </w:t>
      </w:r>
      <w:hyperlink r:id="rId10" w:history="1">
        <w:r w:rsidRPr="00392918">
          <w:rPr>
            <w:rStyle w:val="Hyperlink"/>
            <w:rFonts w:ascii="Arial" w:hAnsi="Arial" w:cs="Arial"/>
            <w:color w:val="006699"/>
            <w:sz w:val="20"/>
            <w:szCs w:val="20"/>
            <w:u w:val="none"/>
          </w:rPr>
          <w:t>Innovation Platform</w:t>
        </w:r>
      </w:hyperlink>
      <w:r w:rsidRPr="00392918">
        <w:rPr>
          <w:rFonts w:ascii="Arial" w:hAnsi="Arial" w:cs="Arial"/>
          <w:color w:val="000000"/>
          <w:sz w:val="20"/>
          <w:szCs w:val="20"/>
        </w:rPr>
        <w:t>.</w:t>
      </w:r>
    </w:p>
    <w:p w14:paraId="4DB2232C" w14:textId="6B5A04EB" w:rsidR="00392918" w:rsidRPr="00C96FCA" w:rsidRDefault="00E21472">
      <w:pPr>
        <w:rPr>
          <w:rFonts w:ascii="Arial" w:hAnsi="Arial" w:cs="Arial"/>
          <w:b/>
          <w:bCs/>
          <w:sz w:val="20"/>
          <w:szCs w:val="20"/>
        </w:rPr>
      </w:pPr>
      <w:r w:rsidRPr="00C96FCA">
        <w:rPr>
          <w:rFonts w:ascii="Arial" w:hAnsi="Arial" w:cs="Arial"/>
          <w:b/>
          <w:bCs/>
          <w:sz w:val="20"/>
          <w:szCs w:val="20"/>
        </w:rPr>
        <w:t>Replacing Animal-derived antibodies with animal-free affinity reagents</w:t>
      </w:r>
    </w:p>
    <w:p w14:paraId="777BA68D" w14:textId="0C51BCB2" w:rsidR="00E21472" w:rsidRDefault="00752BA2" w:rsidP="00E21472">
      <w:pPr>
        <w:pStyle w:val="ListParagraph"/>
        <w:numPr>
          <w:ilvl w:val="0"/>
          <w:numId w:val="1"/>
        </w:numPr>
        <w:rPr>
          <w:rFonts w:ascii="Arial" w:hAnsi="Arial" w:cs="Arial"/>
          <w:sz w:val="20"/>
          <w:szCs w:val="20"/>
        </w:rPr>
      </w:pPr>
      <w:r w:rsidRPr="00C625A6">
        <w:rPr>
          <w:rFonts w:ascii="Arial" w:hAnsi="Arial" w:cs="Arial"/>
          <w:b/>
          <w:bCs/>
          <w:sz w:val="20"/>
          <w:szCs w:val="20"/>
        </w:rPr>
        <w:t>Non-animal-derived antibodies</w:t>
      </w:r>
      <w:r w:rsidRPr="00752BA2">
        <w:rPr>
          <w:rFonts w:ascii="Arial" w:hAnsi="Arial" w:cs="Arial"/>
          <w:sz w:val="20"/>
          <w:szCs w:val="20"/>
        </w:rPr>
        <w:t>: antibodies developed using in vitro recombinant libraries that do not use animal immunisation during their generation or production.</w:t>
      </w:r>
    </w:p>
    <w:p w14:paraId="36C09DCB" w14:textId="12ABF17B" w:rsidR="00752BA2" w:rsidRDefault="008B74D3" w:rsidP="008B74D3">
      <w:pPr>
        <w:pStyle w:val="ListParagraph"/>
        <w:numPr>
          <w:ilvl w:val="0"/>
          <w:numId w:val="1"/>
        </w:numPr>
        <w:rPr>
          <w:rFonts w:ascii="Arial" w:hAnsi="Arial" w:cs="Arial"/>
          <w:sz w:val="20"/>
          <w:szCs w:val="20"/>
        </w:rPr>
      </w:pPr>
      <w:r w:rsidRPr="00C625A6">
        <w:rPr>
          <w:rFonts w:ascii="Arial" w:hAnsi="Arial" w:cs="Arial"/>
          <w:b/>
          <w:bCs/>
          <w:sz w:val="20"/>
          <w:szCs w:val="20"/>
        </w:rPr>
        <w:t>Affinity reagents</w:t>
      </w:r>
      <w:r w:rsidRPr="008B74D3">
        <w:rPr>
          <w:rFonts w:ascii="Arial" w:hAnsi="Arial" w:cs="Arial"/>
          <w:sz w:val="20"/>
          <w:szCs w:val="20"/>
        </w:rPr>
        <w:t>: synthetically derived polypeptides or oligonucleotides that bind to defined, specific targets with high affinity comparable to animal-derived antibodies</w:t>
      </w:r>
      <w:r>
        <w:rPr>
          <w:rFonts w:ascii="Arial" w:hAnsi="Arial" w:cs="Arial"/>
          <w:sz w:val="20"/>
          <w:szCs w:val="20"/>
        </w:rPr>
        <w:t>.</w:t>
      </w:r>
    </w:p>
    <w:p w14:paraId="695BC689" w14:textId="481CC9A6" w:rsidR="008B74D3" w:rsidRDefault="008B74D3" w:rsidP="008B74D3">
      <w:pPr>
        <w:ind w:left="360"/>
        <w:rPr>
          <w:rFonts w:ascii="Arial" w:hAnsi="Arial" w:cs="Arial"/>
          <w:sz w:val="20"/>
          <w:szCs w:val="20"/>
        </w:rPr>
      </w:pPr>
      <w:r w:rsidRPr="008B74D3">
        <w:rPr>
          <w:rFonts w:ascii="Arial" w:hAnsi="Arial" w:cs="Arial"/>
          <w:sz w:val="20"/>
          <w:szCs w:val="20"/>
        </w:rPr>
        <w:t>Non-animal-derived antibodies and affinity reagents are mature technologies that are commercially available, are amenable to most research applications and offer significant scientific benefits (summarised in Table 1). This is supported by a recent review from the EU Reference Laboratory for alternatives to animal testing (EURL ECVAM) [1] which recommends that animals should no longer be used for the development and production of antibodies for research.</w:t>
      </w:r>
    </w:p>
    <w:p w14:paraId="1370B3FC" w14:textId="3143D776" w:rsidR="008B74D3" w:rsidRDefault="008B74D3" w:rsidP="00C96FCA">
      <w:pPr>
        <w:rPr>
          <w:rFonts w:ascii="Arial" w:hAnsi="Arial" w:cs="Arial"/>
          <w:sz w:val="20"/>
          <w:szCs w:val="20"/>
        </w:rPr>
      </w:pPr>
    </w:p>
    <w:p w14:paraId="12AD9B05" w14:textId="440914E8" w:rsidR="00FB74D7" w:rsidRPr="00FB74D7" w:rsidRDefault="00FB74D7" w:rsidP="00C96FCA">
      <w:pPr>
        <w:rPr>
          <w:rFonts w:ascii="Arial" w:hAnsi="Arial" w:cs="Arial"/>
          <w:b/>
          <w:bCs/>
          <w:sz w:val="20"/>
          <w:szCs w:val="20"/>
        </w:rPr>
      </w:pPr>
      <w:r w:rsidRPr="00FB74D7">
        <w:rPr>
          <w:rFonts w:ascii="Arial" w:hAnsi="Arial" w:cs="Arial"/>
          <w:b/>
          <w:bCs/>
          <w:sz w:val="20"/>
          <w:szCs w:val="20"/>
        </w:rPr>
        <w:t>Improving the human relevance of cell culture using animal-free culture media</w:t>
      </w:r>
    </w:p>
    <w:p w14:paraId="25AEAD21" w14:textId="77777777" w:rsidR="00C2186D" w:rsidRPr="00C2186D" w:rsidRDefault="00C2186D" w:rsidP="00C2186D">
      <w:pPr>
        <w:numPr>
          <w:ilvl w:val="0"/>
          <w:numId w:val="3"/>
        </w:numPr>
        <w:shd w:val="clear" w:color="auto" w:fill="FFFFFF"/>
        <w:spacing w:after="0" w:line="240" w:lineRule="auto"/>
        <w:rPr>
          <w:rFonts w:ascii="Arial" w:eastAsia="Times New Roman" w:hAnsi="Arial" w:cs="Arial"/>
          <w:color w:val="000000"/>
          <w:sz w:val="21"/>
          <w:szCs w:val="21"/>
          <w:lang w:eastAsia="en-GB"/>
        </w:rPr>
      </w:pPr>
      <w:r w:rsidRPr="00C2186D">
        <w:rPr>
          <w:rFonts w:ascii="Arial" w:eastAsia="Times New Roman" w:hAnsi="Arial" w:cs="Arial"/>
          <w:b/>
          <w:bCs/>
          <w:color w:val="000000"/>
          <w:sz w:val="21"/>
          <w:szCs w:val="21"/>
          <w:lang w:eastAsia="en-GB"/>
        </w:rPr>
        <w:t>Growth factors</w:t>
      </w:r>
      <w:r w:rsidRPr="00C2186D">
        <w:rPr>
          <w:rFonts w:ascii="Arial" w:eastAsia="Times New Roman" w:hAnsi="Arial" w:cs="Arial"/>
          <w:color w:val="000000"/>
          <w:sz w:val="21"/>
          <w:szCs w:val="21"/>
          <w:lang w:eastAsia="en-GB"/>
        </w:rPr>
        <w:t> – can be added in isolation as a cocktail and either human-derived or synthetic. Note that synthetic growth factors often have a higher level of standardisation.</w:t>
      </w:r>
    </w:p>
    <w:p w14:paraId="05D76636" w14:textId="77777777" w:rsidR="00C625A6" w:rsidRPr="00C625A6" w:rsidRDefault="00C625A6" w:rsidP="00C625A6">
      <w:pPr>
        <w:numPr>
          <w:ilvl w:val="0"/>
          <w:numId w:val="3"/>
        </w:numPr>
        <w:shd w:val="clear" w:color="auto" w:fill="FFFFFF"/>
        <w:spacing w:after="0" w:line="240" w:lineRule="auto"/>
        <w:rPr>
          <w:rFonts w:ascii="Arial" w:eastAsia="Times New Roman" w:hAnsi="Arial" w:cs="Arial"/>
          <w:color w:val="000000"/>
          <w:sz w:val="21"/>
          <w:szCs w:val="21"/>
          <w:lang w:eastAsia="en-GB"/>
        </w:rPr>
      </w:pPr>
      <w:r w:rsidRPr="00C625A6">
        <w:rPr>
          <w:rFonts w:ascii="Arial" w:eastAsia="Times New Roman" w:hAnsi="Arial" w:cs="Arial"/>
          <w:b/>
          <w:bCs/>
          <w:color w:val="000000"/>
          <w:sz w:val="21"/>
          <w:szCs w:val="21"/>
          <w:lang w:eastAsia="en-GB"/>
        </w:rPr>
        <w:t>Human blood derivatives</w:t>
      </w:r>
      <w:r w:rsidRPr="00C625A6">
        <w:rPr>
          <w:rFonts w:ascii="Arial" w:eastAsia="Times New Roman" w:hAnsi="Arial" w:cs="Arial"/>
          <w:color w:val="000000"/>
          <w:sz w:val="21"/>
          <w:szCs w:val="21"/>
          <w:lang w:eastAsia="en-GB"/>
        </w:rPr>
        <w:t xml:space="preserve"> – serum albumin, serum, </w:t>
      </w:r>
      <w:proofErr w:type="gramStart"/>
      <w:r w:rsidRPr="00C625A6">
        <w:rPr>
          <w:rFonts w:ascii="Arial" w:eastAsia="Times New Roman" w:hAnsi="Arial" w:cs="Arial"/>
          <w:color w:val="000000"/>
          <w:sz w:val="21"/>
          <w:szCs w:val="21"/>
          <w:lang w:eastAsia="en-GB"/>
        </w:rPr>
        <w:t>plasma</w:t>
      </w:r>
      <w:proofErr w:type="gramEnd"/>
      <w:r w:rsidRPr="00C625A6">
        <w:rPr>
          <w:rFonts w:ascii="Arial" w:eastAsia="Times New Roman" w:hAnsi="Arial" w:cs="Arial"/>
          <w:color w:val="000000"/>
          <w:sz w:val="21"/>
          <w:szCs w:val="21"/>
          <w:lang w:eastAsia="en-GB"/>
        </w:rPr>
        <w:t xml:space="preserve"> and platelet lysates can be derived from human blood samples. Serum albumin can be synthesised from human-derived materials, and human platelet lysate can be isolated as a by-product of plasma preparations for example, from blood banks.</w:t>
      </w:r>
    </w:p>
    <w:p w14:paraId="3378C7C9" w14:textId="77777777" w:rsidR="00C625A6" w:rsidRPr="00C625A6" w:rsidRDefault="00C625A6" w:rsidP="00C625A6">
      <w:pPr>
        <w:numPr>
          <w:ilvl w:val="0"/>
          <w:numId w:val="3"/>
        </w:numPr>
        <w:shd w:val="clear" w:color="auto" w:fill="FFFFFF"/>
        <w:spacing w:after="0" w:line="240" w:lineRule="auto"/>
        <w:rPr>
          <w:rFonts w:ascii="Arial" w:eastAsia="Times New Roman" w:hAnsi="Arial" w:cs="Arial"/>
          <w:color w:val="000000"/>
          <w:sz w:val="21"/>
          <w:szCs w:val="21"/>
          <w:lang w:eastAsia="en-GB"/>
        </w:rPr>
      </w:pPr>
      <w:r w:rsidRPr="00C625A6">
        <w:rPr>
          <w:rFonts w:ascii="Arial" w:eastAsia="Times New Roman" w:hAnsi="Arial" w:cs="Arial"/>
          <w:b/>
          <w:bCs/>
          <w:color w:val="000000"/>
          <w:sz w:val="21"/>
          <w:szCs w:val="21"/>
          <w:lang w:eastAsia="en-GB"/>
        </w:rPr>
        <w:t>Supplements derived from non-animal and non-human organisms</w:t>
      </w:r>
      <w:r w:rsidRPr="00C625A6">
        <w:rPr>
          <w:rFonts w:ascii="Arial" w:eastAsia="Times New Roman" w:hAnsi="Arial" w:cs="Arial"/>
          <w:color w:val="000000"/>
          <w:sz w:val="21"/>
          <w:szCs w:val="21"/>
          <w:lang w:eastAsia="en-GB"/>
        </w:rPr>
        <w:t xml:space="preserve"> – proteins, lipids and other components that are important for cell growth can be used to reduce or eliminate the need for animal-derived serums and can be extracted from plants, </w:t>
      </w:r>
      <w:proofErr w:type="gramStart"/>
      <w:r w:rsidRPr="00C625A6">
        <w:rPr>
          <w:rFonts w:ascii="Arial" w:eastAsia="Times New Roman" w:hAnsi="Arial" w:cs="Arial"/>
          <w:color w:val="000000"/>
          <w:sz w:val="21"/>
          <w:szCs w:val="21"/>
          <w:lang w:eastAsia="en-GB"/>
        </w:rPr>
        <w:t>bacteria</w:t>
      </w:r>
      <w:proofErr w:type="gramEnd"/>
      <w:r w:rsidRPr="00C625A6">
        <w:rPr>
          <w:rFonts w:ascii="Arial" w:eastAsia="Times New Roman" w:hAnsi="Arial" w:cs="Arial"/>
          <w:color w:val="000000"/>
          <w:sz w:val="21"/>
          <w:szCs w:val="21"/>
          <w:lang w:eastAsia="en-GB"/>
        </w:rPr>
        <w:t xml:space="preserve"> and yeast, for example plant-derived protein hydrolysates.  </w:t>
      </w:r>
    </w:p>
    <w:p w14:paraId="2B73EA84" w14:textId="2DA2B0E1" w:rsidR="00FB74D7" w:rsidRDefault="00C625A6" w:rsidP="00C625A6">
      <w:pPr>
        <w:ind w:left="360"/>
        <w:rPr>
          <w:rFonts w:ascii="Arial" w:hAnsi="Arial" w:cs="Arial"/>
          <w:color w:val="000000"/>
          <w:sz w:val="21"/>
          <w:szCs w:val="21"/>
          <w:shd w:val="clear" w:color="auto" w:fill="FFFFFF"/>
        </w:rPr>
      </w:pPr>
      <w:r>
        <w:rPr>
          <w:rStyle w:val="Strong"/>
          <w:rFonts w:ascii="Arial" w:hAnsi="Arial" w:cs="Arial"/>
          <w:color w:val="000000"/>
          <w:sz w:val="21"/>
          <w:szCs w:val="21"/>
          <w:shd w:val="clear" w:color="auto" w:fill="FFFFFF"/>
        </w:rPr>
        <w:lastRenderedPageBreak/>
        <w:t>Chemically defined media</w:t>
      </w:r>
      <w:r>
        <w:rPr>
          <w:rFonts w:ascii="Arial" w:hAnsi="Arial" w:cs="Arial"/>
          <w:color w:val="000000"/>
          <w:sz w:val="21"/>
          <w:szCs w:val="21"/>
          <w:shd w:val="clear" w:color="auto" w:fill="FFFFFF"/>
        </w:rPr>
        <w:t xml:space="preserve"> is completely free from serum (both animal and human-derived). All the chemical components and concentrations are known, eliminating batch-to-batch </w:t>
      </w:r>
      <w:proofErr w:type="gramStart"/>
      <w:r>
        <w:rPr>
          <w:rFonts w:ascii="Arial" w:hAnsi="Arial" w:cs="Arial"/>
          <w:color w:val="000000"/>
          <w:sz w:val="21"/>
          <w:szCs w:val="21"/>
          <w:shd w:val="clear" w:color="auto" w:fill="FFFFFF"/>
        </w:rPr>
        <w:t>variation</w:t>
      </w:r>
      <w:proofErr w:type="gramEnd"/>
      <w:r>
        <w:rPr>
          <w:rFonts w:ascii="Arial" w:hAnsi="Arial" w:cs="Arial"/>
          <w:color w:val="000000"/>
          <w:sz w:val="21"/>
          <w:szCs w:val="21"/>
          <w:shd w:val="clear" w:color="auto" w:fill="FFFFFF"/>
        </w:rPr>
        <w:t xml:space="preserve"> and improving quality control. However, some commercially available ‘serum-free’ media are not animal-free as they contain animal-derived supplements other than serum, such as keratinocyte serum-free media that may require the addition of bovine pituitary extract or immunological serum-free media that requires the addition of bovine serum albumin.  These products are not always optimal replacements for FBS-supplemented media as they may still incur batch variability.</w:t>
      </w:r>
    </w:p>
    <w:p w14:paraId="55686627" w14:textId="2123CBC6" w:rsidR="00C625A6" w:rsidRDefault="00C625A6" w:rsidP="00C625A6">
      <w:pPr>
        <w:ind w:left="360"/>
        <w:rPr>
          <w:rFonts w:ascii="Arial" w:hAnsi="Arial" w:cs="Arial"/>
          <w:sz w:val="20"/>
          <w:szCs w:val="20"/>
        </w:rPr>
      </w:pPr>
    </w:p>
    <w:p w14:paraId="754D2A17" w14:textId="1EA1EA14" w:rsidR="00C625A6" w:rsidRPr="00EB4344" w:rsidRDefault="00EB4344" w:rsidP="00C625A6">
      <w:pPr>
        <w:rPr>
          <w:rFonts w:ascii="Arial" w:hAnsi="Arial" w:cs="Arial"/>
          <w:b/>
          <w:bCs/>
          <w:sz w:val="20"/>
          <w:szCs w:val="20"/>
        </w:rPr>
      </w:pPr>
      <w:r w:rsidRPr="00EB4344">
        <w:rPr>
          <w:rFonts w:ascii="Arial" w:hAnsi="Arial" w:cs="Arial"/>
          <w:b/>
          <w:bCs/>
          <w:sz w:val="20"/>
          <w:szCs w:val="20"/>
        </w:rPr>
        <w:t>Moving to animal-free scaffolds for the construction of 3D organotypic models</w:t>
      </w:r>
    </w:p>
    <w:p w14:paraId="6BD82C3B" w14:textId="7CD9C73D" w:rsidR="00F92442" w:rsidRPr="00F92442" w:rsidRDefault="00F92442" w:rsidP="00F92442">
      <w:pPr>
        <w:pStyle w:val="ListParagraph"/>
        <w:numPr>
          <w:ilvl w:val="0"/>
          <w:numId w:val="5"/>
        </w:numPr>
        <w:rPr>
          <w:rFonts w:ascii="Arial" w:hAnsi="Arial" w:cs="Arial"/>
          <w:sz w:val="20"/>
          <w:szCs w:val="20"/>
        </w:rPr>
      </w:pPr>
      <w:r>
        <w:rPr>
          <w:rFonts w:ascii="Arial" w:hAnsi="Arial" w:cs="Arial"/>
          <w:color w:val="000000"/>
          <w:sz w:val="21"/>
          <w:szCs w:val="21"/>
          <w:shd w:val="clear" w:color="auto" w:fill="FFFFFF"/>
        </w:rPr>
        <w:t>Animal-free scaffolds appropriate for CIVMs are often either derived from existing structural proteins and polymers in nature, such as those derived from plants or fungi, or synthetically constructed. Each scaffold has specific properties that are useful for certain applications and may provide a scientific advantage over animal-derived scaffolds that are less specialised (see Table 1).</w:t>
      </w:r>
    </w:p>
    <w:tbl>
      <w:tblPr>
        <w:tblW w:w="0" w:type="dxa"/>
        <w:tblBorders>
          <w:top w:val="single" w:sz="6" w:space="0" w:color="CCCCCC"/>
          <w:left w:val="single" w:sz="6" w:space="0" w:color="CCCCCC"/>
          <w:bottom w:val="single" w:sz="6" w:space="0" w:color="CCCCCC"/>
          <w:right w:val="single" w:sz="6" w:space="0" w:color="CCCCCC"/>
        </w:tblBorders>
        <w:shd w:val="clear" w:color="auto" w:fill="FFFFFF"/>
        <w:tblCellMar>
          <w:left w:w="0" w:type="dxa"/>
          <w:right w:w="0" w:type="dxa"/>
        </w:tblCellMar>
        <w:tblLook w:val="04A0" w:firstRow="1" w:lastRow="0" w:firstColumn="1" w:lastColumn="0" w:noHBand="0" w:noVBand="1"/>
      </w:tblPr>
      <w:tblGrid>
        <w:gridCol w:w="2143"/>
        <w:gridCol w:w="6883"/>
      </w:tblGrid>
      <w:tr w:rsidR="00F92442" w:rsidRPr="00F92442" w14:paraId="0F8C0D02" w14:textId="77777777" w:rsidTr="00F92442">
        <w:tc>
          <w:tcPr>
            <w:tcW w:w="0" w:type="auto"/>
            <w:tcBorders>
              <w:top w:val="nil"/>
              <w:left w:val="nil"/>
              <w:bottom w:val="nil"/>
              <w:right w:val="nil"/>
            </w:tcBorders>
            <w:shd w:val="clear" w:color="auto" w:fill="642D5C"/>
            <w:tcMar>
              <w:top w:w="75" w:type="dxa"/>
              <w:left w:w="105" w:type="dxa"/>
              <w:bottom w:w="75" w:type="dxa"/>
              <w:right w:w="105" w:type="dxa"/>
            </w:tcMar>
            <w:vAlign w:val="center"/>
            <w:hideMark/>
          </w:tcPr>
          <w:p w14:paraId="5F25CC97" w14:textId="77777777" w:rsidR="00F92442" w:rsidRPr="00F92442" w:rsidRDefault="00F92442" w:rsidP="00F92442">
            <w:pPr>
              <w:spacing w:before="100" w:beforeAutospacing="1" w:after="100" w:afterAutospacing="1" w:line="240" w:lineRule="auto"/>
              <w:rPr>
                <w:rFonts w:ascii="Arial" w:eastAsia="Times New Roman" w:hAnsi="Arial" w:cs="Arial"/>
                <w:color w:val="FFFFFF"/>
                <w:sz w:val="21"/>
                <w:szCs w:val="21"/>
                <w:lang w:eastAsia="en-GB"/>
              </w:rPr>
            </w:pPr>
            <w:r w:rsidRPr="00F92442">
              <w:rPr>
                <w:rFonts w:ascii="Arial" w:eastAsia="Times New Roman" w:hAnsi="Arial" w:cs="Arial"/>
                <w:b/>
                <w:bCs/>
                <w:color w:val="FFFFFF"/>
                <w:sz w:val="21"/>
                <w:szCs w:val="21"/>
                <w:lang w:eastAsia="en-GB"/>
              </w:rPr>
              <w:t>Recombinant polymers</w:t>
            </w:r>
          </w:p>
        </w:tc>
        <w:tc>
          <w:tcPr>
            <w:tcW w:w="0" w:type="auto"/>
            <w:tcBorders>
              <w:top w:val="nil"/>
              <w:left w:val="nil"/>
              <w:bottom w:val="nil"/>
              <w:right w:val="nil"/>
            </w:tcBorders>
            <w:shd w:val="clear" w:color="auto" w:fill="FFFFFF"/>
            <w:tcMar>
              <w:top w:w="75" w:type="dxa"/>
              <w:left w:w="105" w:type="dxa"/>
              <w:bottom w:w="75" w:type="dxa"/>
              <w:right w:w="105" w:type="dxa"/>
            </w:tcMar>
            <w:vAlign w:val="center"/>
            <w:hideMark/>
          </w:tcPr>
          <w:p w14:paraId="4826B21E" w14:textId="77777777" w:rsidR="00F92442" w:rsidRPr="00F92442" w:rsidRDefault="00F92442" w:rsidP="00F92442">
            <w:pPr>
              <w:spacing w:before="100" w:beforeAutospacing="1" w:after="100" w:afterAutospacing="1" w:line="240" w:lineRule="auto"/>
              <w:rPr>
                <w:rFonts w:ascii="Arial" w:eastAsia="Times New Roman" w:hAnsi="Arial" w:cs="Arial"/>
                <w:color w:val="000000"/>
                <w:sz w:val="21"/>
                <w:szCs w:val="21"/>
                <w:lang w:eastAsia="en-GB"/>
              </w:rPr>
            </w:pPr>
            <w:r w:rsidRPr="00F92442">
              <w:rPr>
                <w:rFonts w:ascii="Arial" w:eastAsia="Times New Roman" w:hAnsi="Arial" w:cs="Arial"/>
                <w:color w:val="000000"/>
                <w:sz w:val="21"/>
                <w:szCs w:val="21"/>
                <w:lang w:eastAsia="en-GB"/>
              </w:rPr>
              <w:t>Polymers observed in nature that can be synthesised using recombinant technologies, for example, procollagen production using bacteria [6].</w:t>
            </w:r>
          </w:p>
        </w:tc>
      </w:tr>
      <w:tr w:rsidR="00F92442" w:rsidRPr="00F92442" w14:paraId="67AADD12" w14:textId="77777777" w:rsidTr="00F92442">
        <w:tc>
          <w:tcPr>
            <w:tcW w:w="0" w:type="auto"/>
            <w:tcBorders>
              <w:top w:val="nil"/>
              <w:left w:val="nil"/>
              <w:bottom w:val="nil"/>
              <w:right w:val="nil"/>
            </w:tcBorders>
            <w:shd w:val="clear" w:color="auto" w:fill="642D5C"/>
            <w:tcMar>
              <w:top w:w="75" w:type="dxa"/>
              <w:left w:w="105" w:type="dxa"/>
              <w:bottom w:w="75" w:type="dxa"/>
              <w:right w:w="105" w:type="dxa"/>
            </w:tcMar>
            <w:vAlign w:val="center"/>
            <w:hideMark/>
          </w:tcPr>
          <w:p w14:paraId="0ADBAC9E" w14:textId="77777777" w:rsidR="00F92442" w:rsidRPr="00F92442" w:rsidRDefault="00F92442" w:rsidP="00F92442">
            <w:pPr>
              <w:spacing w:before="100" w:beforeAutospacing="1" w:after="100" w:afterAutospacing="1" w:line="240" w:lineRule="auto"/>
              <w:rPr>
                <w:rFonts w:ascii="Arial" w:eastAsia="Times New Roman" w:hAnsi="Arial" w:cs="Arial"/>
                <w:color w:val="FFFFFF"/>
                <w:sz w:val="21"/>
                <w:szCs w:val="21"/>
                <w:lang w:eastAsia="en-GB"/>
              </w:rPr>
            </w:pPr>
            <w:r w:rsidRPr="00F92442">
              <w:rPr>
                <w:rFonts w:ascii="Arial" w:eastAsia="Times New Roman" w:hAnsi="Arial" w:cs="Arial"/>
                <w:b/>
                <w:bCs/>
                <w:color w:val="FFFFFF"/>
                <w:sz w:val="21"/>
                <w:szCs w:val="21"/>
                <w:lang w:eastAsia="en-GB"/>
              </w:rPr>
              <w:t>Micro-organism derived scaffolds</w:t>
            </w:r>
          </w:p>
        </w:tc>
        <w:tc>
          <w:tcPr>
            <w:tcW w:w="0" w:type="auto"/>
            <w:tcBorders>
              <w:top w:val="nil"/>
              <w:left w:val="nil"/>
              <w:bottom w:val="nil"/>
              <w:right w:val="nil"/>
            </w:tcBorders>
            <w:shd w:val="clear" w:color="auto" w:fill="F5F5F5"/>
            <w:tcMar>
              <w:top w:w="75" w:type="dxa"/>
              <w:left w:w="105" w:type="dxa"/>
              <w:bottom w:w="75" w:type="dxa"/>
              <w:right w:w="105" w:type="dxa"/>
            </w:tcMar>
            <w:vAlign w:val="center"/>
            <w:hideMark/>
          </w:tcPr>
          <w:p w14:paraId="2879E74A" w14:textId="77777777" w:rsidR="00F92442" w:rsidRPr="00F92442" w:rsidRDefault="00F92442" w:rsidP="00F92442">
            <w:pPr>
              <w:spacing w:before="100" w:beforeAutospacing="1" w:after="100" w:afterAutospacing="1" w:line="240" w:lineRule="auto"/>
              <w:rPr>
                <w:rFonts w:ascii="Arial" w:eastAsia="Times New Roman" w:hAnsi="Arial" w:cs="Arial"/>
                <w:color w:val="000000"/>
                <w:sz w:val="21"/>
                <w:szCs w:val="21"/>
                <w:lang w:eastAsia="en-GB"/>
              </w:rPr>
            </w:pPr>
            <w:r w:rsidRPr="00F92442">
              <w:rPr>
                <w:rFonts w:ascii="Arial" w:eastAsia="Times New Roman" w:hAnsi="Arial" w:cs="Arial"/>
                <w:color w:val="000000"/>
                <w:sz w:val="21"/>
                <w:szCs w:val="21"/>
                <w:lang w:eastAsia="en-GB"/>
              </w:rPr>
              <w:t>Polymers found in micro-organisms offer potential use for the construction of scaffolds due to their wide abundance and flexibility, for example, fungal chitin has been used to construct scaffolds supporting human keratinocytes [7].</w:t>
            </w:r>
          </w:p>
        </w:tc>
      </w:tr>
      <w:tr w:rsidR="00F92442" w:rsidRPr="00F92442" w14:paraId="5904B1DD" w14:textId="77777777" w:rsidTr="00F92442">
        <w:tc>
          <w:tcPr>
            <w:tcW w:w="0" w:type="auto"/>
            <w:tcBorders>
              <w:top w:val="nil"/>
              <w:left w:val="nil"/>
              <w:bottom w:val="nil"/>
              <w:right w:val="nil"/>
            </w:tcBorders>
            <w:shd w:val="clear" w:color="auto" w:fill="642D5C"/>
            <w:tcMar>
              <w:top w:w="75" w:type="dxa"/>
              <w:left w:w="105" w:type="dxa"/>
              <w:bottom w:w="75" w:type="dxa"/>
              <w:right w:w="105" w:type="dxa"/>
            </w:tcMar>
            <w:vAlign w:val="center"/>
            <w:hideMark/>
          </w:tcPr>
          <w:p w14:paraId="20EFD78E" w14:textId="77777777" w:rsidR="00F92442" w:rsidRPr="00F92442" w:rsidRDefault="00F92442" w:rsidP="00F92442">
            <w:pPr>
              <w:spacing w:before="100" w:beforeAutospacing="1" w:after="100" w:afterAutospacing="1" w:line="240" w:lineRule="auto"/>
              <w:rPr>
                <w:rFonts w:ascii="Arial" w:eastAsia="Times New Roman" w:hAnsi="Arial" w:cs="Arial"/>
                <w:color w:val="FFFFFF"/>
                <w:sz w:val="21"/>
                <w:szCs w:val="21"/>
                <w:lang w:eastAsia="en-GB"/>
              </w:rPr>
            </w:pPr>
            <w:r w:rsidRPr="00F92442">
              <w:rPr>
                <w:rFonts w:ascii="Arial" w:eastAsia="Times New Roman" w:hAnsi="Arial" w:cs="Arial"/>
                <w:b/>
                <w:bCs/>
                <w:color w:val="FFFFFF"/>
                <w:sz w:val="21"/>
                <w:szCs w:val="21"/>
                <w:lang w:eastAsia="en-GB"/>
              </w:rPr>
              <w:t>Plant-derived scaffolds</w:t>
            </w:r>
          </w:p>
        </w:tc>
        <w:tc>
          <w:tcPr>
            <w:tcW w:w="0" w:type="auto"/>
            <w:tcBorders>
              <w:top w:val="nil"/>
              <w:left w:val="nil"/>
              <w:bottom w:val="nil"/>
              <w:right w:val="nil"/>
            </w:tcBorders>
            <w:shd w:val="clear" w:color="auto" w:fill="FFFFFF"/>
            <w:tcMar>
              <w:top w:w="75" w:type="dxa"/>
              <w:left w:w="105" w:type="dxa"/>
              <w:bottom w:w="75" w:type="dxa"/>
              <w:right w:w="105" w:type="dxa"/>
            </w:tcMar>
            <w:vAlign w:val="center"/>
            <w:hideMark/>
          </w:tcPr>
          <w:p w14:paraId="2C2D1829" w14:textId="77777777" w:rsidR="00F92442" w:rsidRPr="00F92442" w:rsidRDefault="00F92442" w:rsidP="00F92442">
            <w:pPr>
              <w:spacing w:before="100" w:beforeAutospacing="1" w:after="100" w:afterAutospacing="1" w:line="240" w:lineRule="auto"/>
              <w:rPr>
                <w:rFonts w:ascii="Arial" w:eastAsia="Times New Roman" w:hAnsi="Arial" w:cs="Arial"/>
                <w:color w:val="000000"/>
                <w:sz w:val="21"/>
                <w:szCs w:val="21"/>
                <w:lang w:eastAsia="en-GB"/>
              </w:rPr>
            </w:pPr>
            <w:r w:rsidRPr="00F92442">
              <w:rPr>
                <w:rFonts w:ascii="Arial" w:eastAsia="Times New Roman" w:hAnsi="Arial" w:cs="Arial"/>
                <w:color w:val="000000"/>
                <w:sz w:val="21"/>
                <w:szCs w:val="21"/>
                <w:lang w:eastAsia="en-GB"/>
              </w:rPr>
              <w:t>Polymers found in plants, such as cellulose and alginate, can be harvested and used to construct biocompatible scaffolds, for example, cellulose can be decellularized to generate pre-vascularised tissue engineering scaffolds [8].</w:t>
            </w:r>
          </w:p>
        </w:tc>
      </w:tr>
      <w:tr w:rsidR="00F92442" w:rsidRPr="00F92442" w14:paraId="589B5017" w14:textId="77777777" w:rsidTr="00F92442">
        <w:tc>
          <w:tcPr>
            <w:tcW w:w="0" w:type="auto"/>
            <w:tcBorders>
              <w:top w:val="nil"/>
              <w:left w:val="nil"/>
              <w:bottom w:val="nil"/>
              <w:right w:val="nil"/>
            </w:tcBorders>
            <w:shd w:val="clear" w:color="auto" w:fill="642D5C"/>
            <w:tcMar>
              <w:top w:w="75" w:type="dxa"/>
              <w:left w:w="105" w:type="dxa"/>
              <w:bottom w:w="75" w:type="dxa"/>
              <w:right w:w="105" w:type="dxa"/>
            </w:tcMar>
            <w:vAlign w:val="center"/>
            <w:hideMark/>
          </w:tcPr>
          <w:p w14:paraId="24284460" w14:textId="77777777" w:rsidR="00F92442" w:rsidRPr="00F92442" w:rsidRDefault="00F92442" w:rsidP="00F92442">
            <w:pPr>
              <w:spacing w:before="100" w:beforeAutospacing="1" w:after="100" w:afterAutospacing="1" w:line="240" w:lineRule="auto"/>
              <w:rPr>
                <w:rFonts w:ascii="Arial" w:eastAsia="Times New Roman" w:hAnsi="Arial" w:cs="Arial"/>
                <w:color w:val="FFFFFF"/>
                <w:sz w:val="21"/>
                <w:szCs w:val="21"/>
                <w:lang w:eastAsia="en-GB"/>
              </w:rPr>
            </w:pPr>
            <w:r w:rsidRPr="00F92442">
              <w:rPr>
                <w:rFonts w:ascii="Arial" w:eastAsia="Times New Roman" w:hAnsi="Arial" w:cs="Arial"/>
                <w:b/>
                <w:bCs/>
                <w:color w:val="FFFFFF"/>
                <w:sz w:val="21"/>
                <w:szCs w:val="21"/>
                <w:lang w:eastAsia="en-GB"/>
              </w:rPr>
              <w:t>Nanomaterials</w:t>
            </w:r>
          </w:p>
        </w:tc>
        <w:tc>
          <w:tcPr>
            <w:tcW w:w="0" w:type="auto"/>
            <w:tcBorders>
              <w:top w:val="nil"/>
              <w:left w:val="nil"/>
              <w:bottom w:val="nil"/>
              <w:right w:val="nil"/>
            </w:tcBorders>
            <w:shd w:val="clear" w:color="auto" w:fill="F5F5F5"/>
            <w:tcMar>
              <w:top w:w="75" w:type="dxa"/>
              <w:left w:w="105" w:type="dxa"/>
              <w:bottom w:w="75" w:type="dxa"/>
              <w:right w:w="105" w:type="dxa"/>
            </w:tcMar>
            <w:vAlign w:val="center"/>
            <w:hideMark/>
          </w:tcPr>
          <w:p w14:paraId="37D3EF97" w14:textId="77777777" w:rsidR="00F92442" w:rsidRPr="00F92442" w:rsidRDefault="00F92442" w:rsidP="00F92442">
            <w:pPr>
              <w:spacing w:before="100" w:beforeAutospacing="1" w:after="100" w:afterAutospacing="1" w:line="240" w:lineRule="auto"/>
              <w:rPr>
                <w:rFonts w:ascii="Arial" w:eastAsia="Times New Roman" w:hAnsi="Arial" w:cs="Arial"/>
                <w:color w:val="000000"/>
                <w:sz w:val="21"/>
                <w:szCs w:val="21"/>
                <w:lang w:eastAsia="en-GB"/>
              </w:rPr>
            </w:pPr>
            <w:r w:rsidRPr="00F92442">
              <w:rPr>
                <w:rFonts w:ascii="Arial" w:eastAsia="Times New Roman" w:hAnsi="Arial" w:cs="Arial"/>
                <w:color w:val="000000"/>
                <w:sz w:val="21"/>
                <w:szCs w:val="21"/>
                <w:lang w:eastAsia="en-GB"/>
              </w:rPr>
              <w:t>Nanomaterials can mimic natural tissue conditions, and carbon nanomaterials are useful for tissue engineering due to their biocompatibility, for example, graphene foam can be used as a scaffold to support neural stem cells [9].</w:t>
            </w:r>
          </w:p>
        </w:tc>
      </w:tr>
      <w:tr w:rsidR="00F92442" w:rsidRPr="00F92442" w14:paraId="3128D691" w14:textId="77777777" w:rsidTr="00F92442">
        <w:tc>
          <w:tcPr>
            <w:tcW w:w="0" w:type="auto"/>
            <w:tcBorders>
              <w:top w:val="nil"/>
              <w:left w:val="nil"/>
              <w:bottom w:val="nil"/>
              <w:right w:val="nil"/>
            </w:tcBorders>
            <w:shd w:val="clear" w:color="auto" w:fill="642D5C"/>
            <w:tcMar>
              <w:top w:w="75" w:type="dxa"/>
              <w:left w:w="105" w:type="dxa"/>
              <w:bottom w:w="75" w:type="dxa"/>
              <w:right w:w="105" w:type="dxa"/>
            </w:tcMar>
            <w:vAlign w:val="center"/>
            <w:hideMark/>
          </w:tcPr>
          <w:p w14:paraId="595C7332" w14:textId="77777777" w:rsidR="00F92442" w:rsidRPr="00F92442" w:rsidRDefault="00F92442" w:rsidP="00F92442">
            <w:pPr>
              <w:spacing w:before="100" w:beforeAutospacing="1" w:after="100" w:afterAutospacing="1" w:line="240" w:lineRule="auto"/>
              <w:rPr>
                <w:rFonts w:ascii="Arial" w:eastAsia="Times New Roman" w:hAnsi="Arial" w:cs="Arial"/>
                <w:color w:val="FFFFFF"/>
                <w:sz w:val="21"/>
                <w:szCs w:val="21"/>
                <w:lang w:eastAsia="en-GB"/>
              </w:rPr>
            </w:pPr>
            <w:r w:rsidRPr="00F92442">
              <w:rPr>
                <w:rFonts w:ascii="Arial" w:eastAsia="Times New Roman" w:hAnsi="Arial" w:cs="Arial"/>
                <w:b/>
                <w:bCs/>
                <w:color w:val="FFFFFF"/>
                <w:sz w:val="21"/>
                <w:szCs w:val="21"/>
                <w:lang w:eastAsia="en-GB"/>
              </w:rPr>
              <w:t>Synthetic polymers</w:t>
            </w:r>
          </w:p>
        </w:tc>
        <w:tc>
          <w:tcPr>
            <w:tcW w:w="0" w:type="auto"/>
            <w:tcBorders>
              <w:top w:val="nil"/>
              <w:left w:val="nil"/>
              <w:bottom w:val="nil"/>
              <w:right w:val="nil"/>
            </w:tcBorders>
            <w:shd w:val="clear" w:color="auto" w:fill="FFFFFF"/>
            <w:tcMar>
              <w:top w:w="75" w:type="dxa"/>
              <w:left w:w="105" w:type="dxa"/>
              <w:bottom w:w="75" w:type="dxa"/>
              <w:right w:w="105" w:type="dxa"/>
            </w:tcMar>
            <w:vAlign w:val="center"/>
            <w:hideMark/>
          </w:tcPr>
          <w:p w14:paraId="4ABC3422" w14:textId="77777777" w:rsidR="00F92442" w:rsidRPr="00F92442" w:rsidRDefault="00F92442" w:rsidP="00F92442">
            <w:pPr>
              <w:spacing w:before="100" w:beforeAutospacing="1" w:after="100" w:afterAutospacing="1" w:line="240" w:lineRule="auto"/>
              <w:rPr>
                <w:rFonts w:ascii="Arial" w:eastAsia="Times New Roman" w:hAnsi="Arial" w:cs="Arial"/>
                <w:color w:val="000000"/>
                <w:sz w:val="21"/>
                <w:szCs w:val="21"/>
                <w:lang w:eastAsia="en-GB"/>
              </w:rPr>
            </w:pPr>
            <w:r w:rsidRPr="00F92442">
              <w:rPr>
                <w:rFonts w:ascii="Arial" w:eastAsia="Times New Roman" w:hAnsi="Arial" w:cs="Arial"/>
                <w:color w:val="000000"/>
                <w:sz w:val="21"/>
                <w:szCs w:val="21"/>
                <w:lang w:eastAsia="en-GB"/>
              </w:rPr>
              <w:t xml:space="preserve">Synthetic peptide substrates are produced to have properties for specific applications, for example, </w:t>
            </w:r>
            <w:proofErr w:type="gramStart"/>
            <w:r w:rsidRPr="00F92442">
              <w:rPr>
                <w:rFonts w:ascii="Arial" w:eastAsia="Times New Roman" w:hAnsi="Arial" w:cs="Arial"/>
                <w:color w:val="000000"/>
                <w:sz w:val="21"/>
                <w:szCs w:val="21"/>
                <w:lang w:eastAsia="en-GB"/>
              </w:rPr>
              <w:t>poly(</w:t>
            </w:r>
            <w:proofErr w:type="gramEnd"/>
            <w:r w:rsidRPr="00F92442">
              <w:rPr>
                <w:rFonts w:ascii="Arial" w:eastAsia="Times New Roman" w:hAnsi="Arial" w:cs="Arial"/>
                <w:color w:val="000000"/>
                <w:sz w:val="21"/>
                <w:szCs w:val="21"/>
                <w:lang w:eastAsia="en-GB"/>
              </w:rPr>
              <w:t>ethylene glycol) (PEG) hydrogels can be used for the fabrication of bioactive scaffolds [10].</w:t>
            </w:r>
          </w:p>
        </w:tc>
      </w:tr>
      <w:tr w:rsidR="00F92442" w:rsidRPr="00F92442" w14:paraId="1A304393" w14:textId="77777777" w:rsidTr="00F92442">
        <w:tc>
          <w:tcPr>
            <w:tcW w:w="0" w:type="auto"/>
            <w:tcBorders>
              <w:top w:val="nil"/>
              <w:left w:val="nil"/>
              <w:bottom w:val="nil"/>
              <w:right w:val="nil"/>
            </w:tcBorders>
            <w:shd w:val="clear" w:color="auto" w:fill="642D5C"/>
            <w:tcMar>
              <w:top w:w="75" w:type="dxa"/>
              <w:left w:w="105" w:type="dxa"/>
              <w:bottom w:w="75" w:type="dxa"/>
              <w:right w:w="105" w:type="dxa"/>
            </w:tcMar>
            <w:vAlign w:val="center"/>
            <w:hideMark/>
          </w:tcPr>
          <w:p w14:paraId="06BC46D4" w14:textId="77777777" w:rsidR="00F92442" w:rsidRPr="00F92442" w:rsidRDefault="00F92442" w:rsidP="00F92442">
            <w:pPr>
              <w:spacing w:before="100" w:beforeAutospacing="1" w:after="100" w:afterAutospacing="1" w:line="240" w:lineRule="auto"/>
              <w:rPr>
                <w:rFonts w:ascii="Arial" w:eastAsia="Times New Roman" w:hAnsi="Arial" w:cs="Arial"/>
                <w:color w:val="FFFFFF"/>
                <w:sz w:val="21"/>
                <w:szCs w:val="21"/>
                <w:lang w:eastAsia="en-GB"/>
              </w:rPr>
            </w:pPr>
            <w:r w:rsidRPr="00F92442">
              <w:rPr>
                <w:rFonts w:ascii="Arial" w:eastAsia="Times New Roman" w:hAnsi="Arial" w:cs="Arial"/>
                <w:b/>
                <w:bCs/>
                <w:color w:val="FFFFFF"/>
                <w:sz w:val="21"/>
                <w:szCs w:val="21"/>
                <w:lang w:eastAsia="en-GB"/>
              </w:rPr>
              <w:t>Human-derived scaffolds</w:t>
            </w:r>
          </w:p>
        </w:tc>
        <w:tc>
          <w:tcPr>
            <w:tcW w:w="0" w:type="auto"/>
            <w:tcBorders>
              <w:top w:val="nil"/>
              <w:left w:val="nil"/>
              <w:bottom w:val="nil"/>
              <w:right w:val="nil"/>
            </w:tcBorders>
            <w:shd w:val="clear" w:color="auto" w:fill="F5F5F5"/>
            <w:tcMar>
              <w:top w:w="75" w:type="dxa"/>
              <w:left w:w="105" w:type="dxa"/>
              <w:bottom w:w="75" w:type="dxa"/>
              <w:right w:w="105" w:type="dxa"/>
            </w:tcMar>
            <w:vAlign w:val="center"/>
            <w:hideMark/>
          </w:tcPr>
          <w:p w14:paraId="7FF5F7CC" w14:textId="77777777" w:rsidR="00F92442" w:rsidRPr="00F92442" w:rsidRDefault="00F92442" w:rsidP="00F92442">
            <w:pPr>
              <w:spacing w:before="100" w:beforeAutospacing="1" w:after="100" w:afterAutospacing="1" w:line="240" w:lineRule="auto"/>
              <w:rPr>
                <w:rFonts w:ascii="Arial" w:eastAsia="Times New Roman" w:hAnsi="Arial" w:cs="Arial"/>
                <w:color w:val="000000"/>
                <w:sz w:val="21"/>
                <w:szCs w:val="21"/>
                <w:lang w:eastAsia="en-GB"/>
              </w:rPr>
            </w:pPr>
            <w:r w:rsidRPr="00F92442">
              <w:rPr>
                <w:rFonts w:ascii="Arial" w:eastAsia="Times New Roman" w:hAnsi="Arial" w:cs="Arial"/>
                <w:color w:val="000000"/>
                <w:sz w:val="21"/>
                <w:szCs w:val="21"/>
                <w:lang w:eastAsia="en-GB"/>
              </w:rPr>
              <w:t xml:space="preserve">Extra-cellular matrix or scaffold components can be derived from </w:t>
            </w:r>
            <w:proofErr w:type="spellStart"/>
            <w:r w:rsidRPr="00F92442">
              <w:rPr>
                <w:rFonts w:ascii="Arial" w:eastAsia="Times New Roman" w:hAnsi="Arial" w:cs="Arial"/>
                <w:color w:val="000000"/>
                <w:sz w:val="21"/>
                <w:szCs w:val="21"/>
                <w:lang w:eastAsia="en-GB"/>
              </w:rPr>
              <w:t>decellularised</w:t>
            </w:r>
            <w:proofErr w:type="spellEnd"/>
            <w:r w:rsidRPr="00F92442">
              <w:rPr>
                <w:rFonts w:ascii="Arial" w:eastAsia="Times New Roman" w:hAnsi="Arial" w:cs="Arial"/>
                <w:color w:val="000000"/>
                <w:sz w:val="21"/>
                <w:szCs w:val="21"/>
                <w:lang w:eastAsia="en-GB"/>
              </w:rPr>
              <w:t xml:space="preserve"> human tissue, for example, scaffold construction using </w:t>
            </w:r>
            <w:proofErr w:type="spellStart"/>
            <w:r w:rsidRPr="00F92442">
              <w:rPr>
                <w:rFonts w:ascii="Arial" w:eastAsia="Times New Roman" w:hAnsi="Arial" w:cs="Arial"/>
                <w:color w:val="000000"/>
                <w:sz w:val="21"/>
                <w:szCs w:val="21"/>
                <w:lang w:eastAsia="en-GB"/>
              </w:rPr>
              <w:t>decellularised</w:t>
            </w:r>
            <w:proofErr w:type="spellEnd"/>
            <w:r w:rsidRPr="00F92442">
              <w:rPr>
                <w:rFonts w:ascii="Arial" w:eastAsia="Times New Roman" w:hAnsi="Arial" w:cs="Arial"/>
                <w:color w:val="000000"/>
                <w:sz w:val="21"/>
                <w:szCs w:val="21"/>
                <w:lang w:eastAsia="en-GB"/>
              </w:rPr>
              <w:t xml:space="preserve"> amniotic membrane [11].</w:t>
            </w:r>
          </w:p>
        </w:tc>
      </w:tr>
    </w:tbl>
    <w:p w14:paraId="795C85C3" w14:textId="0FBB226D" w:rsidR="00F92442" w:rsidRDefault="00F92442" w:rsidP="00F92442">
      <w:pPr>
        <w:rPr>
          <w:rFonts w:ascii="Arial" w:hAnsi="Arial" w:cs="Arial"/>
          <w:sz w:val="20"/>
          <w:szCs w:val="20"/>
        </w:rPr>
      </w:pPr>
    </w:p>
    <w:p w14:paraId="04F009EF" w14:textId="266E4AE3" w:rsidR="00F92442" w:rsidRDefault="001943B2" w:rsidP="00F92442">
      <w:pPr>
        <w:rPr>
          <w:rFonts w:ascii="Arial" w:hAnsi="Arial" w:cs="Arial"/>
          <w:b/>
          <w:bCs/>
          <w:sz w:val="20"/>
          <w:szCs w:val="20"/>
        </w:rPr>
      </w:pPr>
      <w:r w:rsidRPr="001943B2">
        <w:rPr>
          <w:rFonts w:ascii="Arial" w:hAnsi="Arial" w:cs="Arial"/>
          <w:b/>
          <w:bCs/>
          <w:sz w:val="20"/>
          <w:szCs w:val="20"/>
        </w:rPr>
        <w:t>Further opportunities to replace animal-derived reagents and products in vitro</w:t>
      </w:r>
    </w:p>
    <w:p w14:paraId="703B9C7C" w14:textId="5BEA2CE4" w:rsidR="001943B2" w:rsidRDefault="00B44818" w:rsidP="00B44818">
      <w:pPr>
        <w:pStyle w:val="ListParagraph"/>
        <w:numPr>
          <w:ilvl w:val="0"/>
          <w:numId w:val="5"/>
        </w:numPr>
        <w:rPr>
          <w:rFonts w:ascii="Arial" w:hAnsi="Arial" w:cs="Arial"/>
          <w:sz w:val="20"/>
          <w:szCs w:val="20"/>
        </w:rPr>
      </w:pPr>
      <w:r w:rsidRPr="00547481">
        <w:rPr>
          <w:rFonts w:ascii="Arial" w:hAnsi="Arial" w:cs="Arial"/>
          <w:b/>
          <w:bCs/>
          <w:sz w:val="20"/>
          <w:szCs w:val="20"/>
        </w:rPr>
        <w:t>Enzymes</w:t>
      </w:r>
      <w:r w:rsidR="00547481">
        <w:rPr>
          <w:rFonts w:ascii="Arial" w:hAnsi="Arial" w:cs="Arial"/>
          <w:sz w:val="20"/>
          <w:szCs w:val="20"/>
        </w:rPr>
        <w:t xml:space="preserve">: </w:t>
      </w:r>
      <w:r w:rsidR="00547481" w:rsidRPr="00547481">
        <w:rPr>
          <w:rFonts w:ascii="Arial" w:hAnsi="Arial" w:cs="Arial"/>
          <w:sz w:val="20"/>
          <w:szCs w:val="20"/>
        </w:rPr>
        <w:t>Enzymes from animal-free sources are increasingly available, whether as recombinant enzymes or derivatives from plants or bacteria. Animal-free enzymes generally have minimal variability and lower risk of contamination [2]. Listed below are companies that offer a selection of animal-free enzymes for a variety of applications.</w:t>
      </w:r>
    </w:p>
    <w:p w14:paraId="6AB8F0AB" w14:textId="1A822910" w:rsidR="00B44818" w:rsidRPr="00E150AE" w:rsidRDefault="00B44818" w:rsidP="00E150AE">
      <w:pPr>
        <w:pStyle w:val="ListParagraph"/>
        <w:numPr>
          <w:ilvl w:val="0"/>
          <w:numId w:val="5"/>
        </w:numPr>
        <w:rPr>
          <w:rFonts w:ascii="Arial" w:hAnsi="Arial" w:cs="Arial"/>
          <w:b/>
          <w:bCs/>
          <w:sz w:val="20"/>
          <w:szCs w:val="20"/>
        </w:rPr>
      </w:pPr>
      <w:r w:rsidRPr="00E150AE">
        <w:rPr>
          <w:rFonts w:ascii="Arial" w:hAnsi="Arial" w:cs="Arial"/>
          <w:b/>
          <w:bCs/>
          <w:sz w:val="20"/>
          <w:szCs w:val="20"/>
        </w:rPr>
        <w:t>Cells</w:t>
      </w:r>
      <w:r w:rsidR="00547481" w:rsidRPr="00E150AE">
        <w:rPr>
          <w:rFonts w:ascii="Arial" w:hAnsi="Arial" w:cs="Arial"/>
          <w:b/>
          <w:bCs/>
          <w:sz w:val="20"/>
          <w:szCs w:val="20"/>
        </w:rPr>
        <w:t>:</w:t>
      </w:r>
      <w:r w:rsidR="00547481" w:rsidRPr="00E150AE">
        <w:rPr>
          <w:rFonts w:ascii="Arial" w:hAnsi="Arial" w:cs="Arial"/>
          <w:sz w:val="20"/>
          <w:szCs w:val="20"/>
        </w:rPr>
        <w:t xml:space="preserve"> </w:t>
      </w:r>
      <w:r w:rsidR="00E150AE" w:rsidRPr="00E150AE">
        <w:rPr>
          <w:rFonts w:ascii="Arial" w:hAnsi="Arial" w:cs="Arial"/>
          <w:sz w:val="20"/>
          <w:szCs w:val="20"/>
        </w:rPr>
        <w:t xml:space="preserve">The Swiss Institute of Bioinformatics hosts The </w:t>
      </w:r>
      <w:proofErr w:type="spellStart"/>
      <w:r w:rsidR="00E150AE" w:rsidRPr="00E150AE">
        <w:rPr>
          <w:rFonts w:ascii="Arial" w:hAnsi="Arial" w:cs="Arial"/>
          <w:sz w:val="20"/>
          <w:szCs w:val="20"/>
        </w:rPr>
        <w:t>Cellosaurus</w:t>
      </w:r>
      <w:proofErr w:type="spellEnd"/>
      <w:r w:rsidR="00E150AE" w:rsidRPr="00E150AE">
        <w:rPr>
          <w:rFonts w:ascii="Arial" w:hAnsi="Arial" w:cs="Arial"/>
          <w:sz w:val="20"/>
          <w:szCs w:val="20"/>
        </w:rPr>
        <w:t>, a knowledge resource on cell lines which aims to describe all cell lines used in biomedical research [1]. It is a useful tool for users seeking to replace cell lines of animal-origin with those from human tissue, or to develop new assays with human cells. The use of human cells in in vitro models increases the relevance of experimental data, leading to improved translation of preclinical experiments. (Please note that the database also describes cell lines of animal-origin.)</w:t>
      </w:r>
    </w:p>
    <w:p w14:paraId="460651E5" w14:textId="0F8E3953" w:rsidR="00B44818" w:rsidRPr="00F23106" w:rsidRDefault="00B44818" w:rsidP="00B44818">
      <w:pPr>
        <w:pStyle w:val="ListParagraph"/>
        <w:numPr>
          <w:ilvl w:val="0"/>
          <w:numId w:val="5"/>
        </w:numPr>
        <w:rPr>
          <w:rFonts w:ascii="Arial" w:hAnsi="Arial" w:cs="Arial"/>
          <w:b/>
          <w:bCs/>
          <w:sz w:val="20"/>
          <w:szCs w:val="20"/>
        </w:rPr>
      </w:pPr>
      <w:r w:rsidRPr="00F23106">
        <w:rPr>
          <w:rFonts w:ascii="Arial" w:hAnsi="Arial" w:cs="Arial"/>
          <w:b/>
          <w:bCs/>
          <w:sz w:val="20"/>
          <w:szCs w:val="20"/>
        </w:rPr>
        <w:lastRenderedPageBreak/>
        <w:t xml:space="preserve">Good </w:t>
      </w:r>
      <w:r w:rsidRPr="00F23106">
        <w:rPr>
          <w:rFonts w:ascii="Arial" w:hAnsi="Arial" w:cs="Arial"/>
          <w:b/>
          <w:bCs/>
          <w:i/>
          <w:iCs/>
          <w:sz w:val="20"/>
          <w:szCs w:val="20"/>
        </w:rPr>
        <w:t>in vitro</w:t>
      </w:r>
      <w:r w:rsidRPr="00F23106">
        <w:rPr>
          <w:rFonts w:ascii="Arial" w:hAnsi="Arial" w:cs="Arial"/>
          <w:b/>
          <w:bCs/>
          <w:sz w:val="20"/>
          <w:szCs w:val="20"/>
        </w:rPr>
        <w:t xml:space="preserve"> practice</w:t>
      </w:r>
      <w:r w:rsidR="00E150AE" w:rsidRPr="00F23106">
        <w:rPr>
          <w:rFonts w:ascii="Arial" w:hAnsi="Arial" w:cs="Arial"/>
          <w:b/>
          <w:bCs/>
          <w:sz w:val="20"/>
          <w:szCs w:val="20"/>
        </w:rPr>
        <w:t>:</w:t>
      </w:r>
    </w:p>
    <w:p w14:paraId="5E2E3CF3" w14:textId="77777777" w:rsidR="00F23106" w:rsidRPr="00F23106" w:rsidRDefault="00F23106" w:rsidP="00F23106">
      <w:pPr>
        <w:pStyle w:val="ListParagraph"/>
        <w:numPr>
          <w:ilvl w:val="1"/>
          <w:numId w:val="5"/>
        </w:numPr>
        <w:rPr>
          <w:rFonts w:ascii="Arial" w:hAnsi="Arial" w:cs="Arial"/>
          <w:sz w:val="20"/>
          <w:szCs w:val="20"/>
        </w:rPr>
      </w:pPr>
      <w:r w:rsidRPr="00F23106">
        <w:rPr>
          <w:rFonts w:ascii="Arial" w:hAnsi="Arial" w:cs="Arial"/>
          <w:sz w:val="20"/>
          <w:szCs w:val="20"/>
        </w:rPr>
        <w:t>We have an online resource library to provide information and guidance for experimental practices and principles, many of which have in vitro applicability such as increasing the use of human tissues and experimental design support.</w:t>
      </w:r>
    </w:p>
    <w:p w14:paraId="2EE52459" w14:textId="77777777" w:rsidR="00F23106" w:rsidRPr="00F23106" w:rsidRDefault="00F23106" w:rsidP="00F23106">
      <w:pPr>
        <w:pStyle w:val="ListParagraph"/>
        <w:ind w:left="1440"/>
        <w:rPr>
          <w:rFonts w:ascii="Arial" w:hAnsi="Arial" w:cs="Arial"/>
          <w:sz w:val="20"/>
          <w:szCs w:val="20"/>
        </w:rPr>
      </w:pPr>
    </w:p>
    <w:p w14:paraId="27B03DA7" w14:textId="77777777" w:rsidR="00F23106" w:rsidRPr="00F23106" w:rsidRDefault="00F23106" w:rsidP="00F23106">
      <w:pPr>
        <w:pStyle w:val="ListParagraph"/>
        <w:numPr>
          <w:ilvl w:val="1"/>
          <w:numId w:val="5"/>
        </w:numPr>
        <w:rPr>
          <w:rFonts w:ascii="Arial" w:hAnsi="Arial" w:cs="Arial"/>
          <w:sz w:val="20"/>
          <w:szCs w:val="20"/>
        </w:rPr>
      </w:pPr>
      <w:r w:rsidRPr="00F23106">
        <w:rPr>
          <w:rFonts w:ascii="Arial" w:hAnsi="Arial" w:cs="Arial"/>
          <w:sz w:val="20"/>
          <w:szCs w:val="20"/>
        </w:rPr>
        <w:t>The European Union Reference Laboratory for alternatives to animal testing (ECVAM) maintains a publicly accessible collection of method summaries and protocols for alternatives to animal experimentation.</w:t>
      </w:r>
    </w:p>
    <w:p w14:paraId="2F3A08E9" w14:textId="77777777" w:rsidR="00F23106" w:rsidRPr="00F23106" w:rsidRDefault="00F23106" w:rsidP="00F23106">
      <w:pPr>
        <w:pStyle w:val="ListParagraph"/>
        <w:ind w:left="1440"/>
        <w:rPr>
          <w:rFonts w:ascii="Arial" w:hAnsi="Arial" w:cs="Arial"/>
          <w:sz w:val="20"/>
          <w:szCs w:val="20"/>
        </w:rPr>
      </w:pPr>
    </w:p>
    <w:p w14:paraId="5E39ECB5" w14:textId="607492EE" w:rsidR="00F23106" w:rsidRPr="00B44818" w:rsidRDefault="00F23106" w:rsidP="00F23106">
      <w:pPr>
        <w:pStyle w:val="ListParagraph"/>
        <w:numPr>
          <w:ilvl w:val="1"/>
          <w:numId w:val="5"/>
        </w:numPr>
        <w:rPr>
          <w:rFonts w:ascii="Arial" w:hAnsi="Arial" w:cs="Arial"/>
          <w:sz w:val="20"/>
          <w:szCs w:val="20"/>
        </w:rPr>
      </w:pPr>
      <w:r w:rsidRPr="00F23106">
        <w:rPr>
          <w:rFonts w:ascii="Arial" w:hAnsi="Arial" w:cs="Arial"/>
          <w:sz w:val="20"/>
          <w:szCs w:val="20"/>
        </w:rPr>
        <w:t>The Organisation for Economic Co-operation and Development (OECD) has developed the Guidance Document on Good In Vitro Method Practices (GIVMP), which aims to foster confidence in in vitro methods and ensure resulting data are rigorous and reproducible.</w:t>
      </w:r>
    </w:p>
    <w:sectPr w:rsidR="00F23106" w:rsidRPr="00B44818">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0235D" w14:textId="77777777" w:rsidR="005330AF" w:rsidRDefault="005330AF" w:rsidP="005330AF">
      <w:pPr>
        <w:spacing w:after="0" w:line="240" w:lineRule="auto"/>
      </w:pPr>
      <w:r>
        <w:separator/>
      </w:r>
    </w:p>
  </w:endnote>
  <w:endnote w:type="continuationSeparator" w:id="0">
    <w:p w14:paraId="46D9CD5C" w14:textId="77777777" w:rsidR="005330AF" w:rsidRDefault="005330AF" w:rsidP="00533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9F26B" w14:textId="77777777" w:rsidR="00347FF0" w:rsidRDefault="00347FF0">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E3A776A" w14:textId="77777777" w:rsidR="00347FF0" w:rsidRDefault="00347F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8236E" w14:textId="77777777" w:rsidR="005330AF" w:rsidRDefault="005330AF" w:rsidP="005330AF">
      <w:pPr>
        <w:spacing w:after="0" w:line="240" w:lineRule="auto"/>
      </w:pPr>
      <w:r>
        <w:separator/>
      </w:r>
    </w:p>
  </w:footnote>
  <w:footnote w:type="continuationSeparator" w:id="0">
    <w:p w14:paraId="227DAEDA" w14:textId="77777777" w:rsidR="005330AF" w:rsidRDefault="005330AF" w:rsidP="005330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863C9" w14:textId="5422C325" w:rsidR="005330AF" w:rsidRDefault="005330AF">
    <w:pPr>
      <w:pStyle w:val="Header"/>
    </w:pPr>
    <w:r>
      <w:tab/>
    </w:r>
    <w:r>
      <w:tab/>
      <w:t>Taken from website 12</w:t>
    </w:r>
    <w:r w:rsidRPr="005330AF">
      <w:rPr>
        <w:vertAlign w:val="superscript"/>
      </w:rPr>
      <w:t>th</w:t>
    </w:r>
    <w:r>
      <w:t xml:space="preserve"> August 2021</w:t>
    </w:r>
  </w:p>
  <w:p w14:paraId="267F7348" w14:textId="77777777" w:rsidR="005330AF" w:rsidRDefault="005330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14481"/>
    <w:multiLevelType w:val="hybridMultilevel"/>
    <w:tmpl w:val="9B98B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8E2FCE"/>
    <w:multiLevelType w:val="multilevel"/>
    <w:tmpl w:val="58623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F810B1"/>
    <w:multiLevelType w:val="hybridMultilevel"/>
    <w:tmpl w:val="FA0EB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BE34DA"/>
    <w:multiLevelType w:val="multilevel"/>
    <w:tmpl w:val="786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C83EE5"/>
    <w:multiLevelType w:val="hybridMultilevel"/>
    <w:tmpl w:val="6AC0D7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D27"/>
    <w:rsid w:val="00097EA6"/>
    <w:rsid w:val="00166932"/>
    <w:rsid w:val="001943B2"/>
    <w:rsid w:val="00347FF0"/>
    <w:rsid w:val="00392918"/>
    <w:rsid w:val="005330AF"/>
    <w:rsid w:val="00547481"/>
    <w:rsid w:val="00752BA2"/>
    <w:rsid w:val="008B74D3"/>
    <w:rsid w:val="008C3E5E"/>
    <w:rsid w:val="00913D27"/>
    <w:rsid w:val="00B44818"/>
    <w:rsid w:val="00BF7B03"/>
    <w:rsid w:val="00C2186D"/>
    <w:rsid w:val="00C625A6"/>
    <w:rsid w:val="00C96FCA"/>
    <w:rsid w:val="00E150AE"/>
    <w:rsid w:val="00E21472"/>
    <w:rsid w:val="00EB4344"/>
    <w:rsid w:val="00F23106"/>
    <w:rsid w:val="00F92442"/>
    <w:rsid w:val="00FB74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5768725"/>
  <w15:chartTrackingRefBased/>
  <w15:docId w15:val="{ADB59032-6768-474B-A2ED-63817D3B1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C3E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E5E"/>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8C3E5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8C3E5E"/>
    <w:rPr>
      <w:i/>
      <w:iCs/>
    </w:rPr>
  </w:style>
  <w:style w:type="character" w:styleId="Hyperlink">
    <w:name w:val="Hyperlink"/>
    <w:basedOn w:val="DefaultParagraphFont"/>
    <w:uiPriority w:val="99"/>
    <w:unhideWhenUsed/>
    <w:rsid w:val="008C3E5E"/>
    <w:rPr>
      <w:color w:val="0000FF"/>
      <w:u w:val="single"/>
    </w:rPr>
  </w:style>
  <w:style w:type="character" w:styleId="UnresolvedMention">
    <w:name w:val="Unresolved Mention"/>
    <w:basedOn w:val="DefaultParagraphFont"/>
    <w:uiPriority w:val="99"/>
    <w:semiHidden/>
    <w:unhideWhenUsed/>
    <w:rsid w:val="00392918"/>
    <w:rPr>
      <w:color w:val="605E5C"/>
      <w:shd w:val="clear" w:color="auto" w:fill="E1DFDD"/>
    </w:rPr>
  </w:style>
  <w:style w:type="paragraph" w:styleId="ListParagraph">
    <w:name w:val="List Paragraph"/>
    <w:basedOn w:val="Normal"/>
    <w:uiPriority w:val="34"/>
    <w:qFormat/>
    <w:rsid w:val="00E21472"/>
    <w:pPr>
      <w:ind w:left="720"/>
      <w:contextualSpacing/>
    </w:pPr>
  </w:style>
  <w:style w:type="character" w:styleId="Strong">
    <w:name w:val="Strong"/>
    <w:basedOn w:val="DefaultParagraphFont"/>
    <w:uiPriority w:val="22"/>
    <w:qFormat/>
    <w:rsid w:val="00C2186D"/>
    <w:rPr>
      <w:b/>
      <w:bCs/>
    </w:rPr>
  </w:style>
  <w:style w:type="paragraph" w:styleId="Header">
    <w:name w:val="header"/>
    <w:basedOn w:val="Normal"/>
    <w:link w:val="HeaderChar"/>
    <w:uiPriority w:val="99"/>
    <w:unhideWhenUsed/>
    <w:rsid w:val="005330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30AF"/>
  </w:style>
  <w:style w:type="paragraph" w:styleId="Footer">
    <w:name w:val="footer"/>
    <w:basedOn w:val="Normal"/>
    <w:link w:val="FooterChar"/>
    <w:uiPriority w:val="99"/>
    <w:unhideWhenUsed/>
    <w:rsid w:val="005330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30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069439">
      <w:bodyDiv w:val="1"/>
      <w:marLeft w:val="0"/>
      <w:marRight w:val="0"/>
      <w:marTop w:val="0"/>
      <w:marBottom w:val="0"/>
      <w:divBdr>
        <w:top w:val="none" w:sz="0" w:space="0" w:color="auto"/>
        <w:left w:val="none" w:sz="0" w:space="0" w:color="auto"/>
        <w:bottom w:val="none" w:sz="0" w:space="0" w:color="auto"/>
        <w:right w:val="none" w:sz="0" w:space="0" w:color="auto"/>
      </w:divBdr>
    </w:div>
    <w:div w:id="611279650">
      <w:bodyDiv w:val="1"/>
      <w:marLeft w:val="0"/>
      <w:marRight w:val="0"/>
      <w:marTop w:val="0"/>
      <w:marBottom w:val="0"/>
      <w:divBdr>
        <w:top w:val="none" w:sz="0" w:space="0" w:color="auto"/>
        <w:left w:val="none" w:sz="0" w:space="0" w:color="auto"/>
        <w:bottom w:val="none" w:sz="0" w:space="0" w:color="auto"/>
        <w:right w:val="none" w:sz="0" w:space="0" w:color="auto"/>
      </w:divBdr>
    </w:div>
    <w:div w:id="663707573">
      <w:bodyDiv w:val="1"/>
      <w:marLeft w:val="0"/>
      <w:marRight w:val="0"/>
      <w:marTop w:val="0"/>
      <w:marBottom w:val="0"/>
      <w:divBdr>
        <w:top w:val="none" w:sz="0" w:space="0" w:color="auto"/>
        <w:left w:val="none" w:sz="0" w:space="0" w:color="auto"/>
        <w:bottom w:val="none" w:sz="0" w:space="0" w:color="auto"/>
        <w:right w:val="none" w:sz="0" w:space="0" w:color="auto"/>
      </w:divBdr>
    </w:div>
    <w:div w:id="930970118">
      <w:bodyDiv w:val="1"/>
      <w:marLeft w:val="0"/>
      <w:marRight w:val="0"/>
      <w:marTop w:val="0"/>
      <w:marBottom w:val="0"/>
      <w:divBdr>
        <w:top w:val="none" w:sz="0" w:space="0" w:color="auto"/>
        <w:left w:val="none" w:sz="0" w:space="0" w:color="auto"/>
        <w:bottom w:val="none" w:sz="0" w:space="0" w:color="auto"/>
        <w:right w:val="none" w:sz="0" w:space="0" w:color="auto"/>
      </w:divBdr>
    </w:div>
    <w:div w:id="1536769915">
      <w:bodyDiv w:val="1"/>
      <w:marLeft w:val="0"/>
      <w:marRight w:val="0"/>
      <w:marTop w:val="0"/>
      <w:marBottom w:val="0"/>
      <w:divBdr>
        <w:top w:val="none" w:sz="0" w:space="0" w:color="auto"/>
        <w:left w:val="none" w:sz="0" w:space="0" w:color="auto"/>
        <w:bottom w:val="none" w:sz="0" w:space="0" w:color="auto"/>
        <w:right w:val="none" w:sz="0" w:space="0" w:color="auto"/>
      </w:divBdr>
    </w:div>
    <w:div w:id="1820417379">
      <w:bodyDiv w:val="1"/>
      <w:marLeft w:val="0"/>
      <w:marRight w:val="0"/>
      <w:marTop w:val="0"/>
      <w:marBottom w:val="0"/>
      <w:divBdr>
        <w:top w:val="none" w:sz="0" w:space="0" w:color="auto"/>
        <w:left w:val="none" w:sz="0" w:space="0" w:color="auto"/>
        <w:bottom w:val="none" w:sz="0" w:space="0" w:color="auto"/>
        <w:right w:val="none" w:sz="0" w:space="0" w:color="auto"/>
      </w:divBdr>
    </w:div>
    <w:div w:id="200219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3rs.org.uk/animal-free-in-vitro-technologi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nc3rs.org.uk/crackit/" TargetMode="External"/><Relationship Id="rId4" Type="http://schemas.openxmlformats.org/officeDocument/2006/relationships/webSettings" Target="webSettings.xml"/><Relationship Id="rId9" Type="http://schemas.openxmlformats.org/officeDocument/2006/relationships/hyperlink" Target="https://nc3rs.org.uk/fund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1104</Words>
  <Characters>6298</Characters>
  <Application>Microsoft Office Word</Application>
  <DocSecurity>0</DocSecurity>
  <Lines>52</Lines>
  <Paragraphs>14</Paragraphs>
  <ScaleCrop>false</ScaleCrop>
  <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Phillips</dc:creator>
  <cp:keywords/>
  <dc:description/>
  <cp:lastModifiedBy>Amelia Phillips</cp:lastModifiedBy>
  <cp:revision>20</cp:revision>
  <dcterms:created xsi:type="dcterms:W3CDTF">2021-08-12T14:45:00Z</dcterms:created>
  <dcterms:modified xsi:type="dcterms:W3CDTF">2021-08-12T14:57:00Z</dcterms:modified>
</cp:coreProperties>
</file>