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21"/>
        <w:rPr>
          <w:rFonts w:ascii="Times New Roman"/>
          <w:sz w:val="52"/>
        </w:rPr>
      </w:pPr>
    </w:p>
    <w:p>
      <w:pPr>
        <w:pStyle w:val="Title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720090</wp:posOffset>
            </wp:positionH>
            <wp:positionV relativeFrom="paragraph">
              <wp:posOffset>-823648</wp:posOffset>
            </wp:positionV>
            <wp:extent cx="1908175" cy="824229"/>
            <wp:effectExtent l="0" t="0" r="0" b="0"/>
            <wp:wrapNone/>
            <wp:docPr id="3" name="Image 3" descr="Home Offic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Home Offic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824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F22B3"/>
        </w:rPr>
        <w:t>PPL</w:t>
      </w:r>
      <w:r>
        <w:rPr>
          <w:color w:val="8F22B3"/>
          <w:spacing w:val="-7"/>
        </w:rPr>
        <w:t> </w:t>
      </w:r>
      <w:r>
        <w:rPr>
          <w:color w:val="8F22B3"/>
        </w:rPr>
        <w:t>Standard</w:t>
      </w:r>
      <w:r>
        <w:rPr>
          <w:color w:val="8F22B3"/>
          <w:spacing w:val="-10"/>
        </w:rPr>
        <w:t> </w:t>
      </w:r>
      <w:r>
        <w:rPr>
          <w:color w:val="8F22B3"/>
        </w:rPr>
        <w:t>Condition</w:t>
      </w:r>
      <w:r>
        <w:rPr>
          <w:color w:val="8F22B3"/>
          <w:spacing w:val="-10"/>
        </w:rPr>
        <w:t> </w:t>
      </w:r>
      <w:r>
        <w:rPr>
          <w:color w:val="8F22B3"/>
        </w:rPr>
        <w:t>18</w:t>
      </w:r>
      <w:r>
        <w:rPr>
          <w:color w:val="8F22B3"/>
          <w:spacing w:val="-9"/>
        </w:rPr>
        <w:t> </w:t>
      </w:r>
      <w:r>
        <w:rPr>
          <w:color w:val="8F22B3"/>
        </w:rPr>
        <w:t>Notification </w:t>
      </w:r>
      <w:r>
        <w:rPr>
          <w:color w:val="8F22B3"/>
          <w:spacing w:val="-4"/>
        </w:rPr>
        <w:t>Form</w:t>
      </w:r>
    </w:p>
    <w:p>
      <w:pPr>
        <w:pStyle w:val="BodyText"/>
        <w:spacing w:before="132"/>
        <w:rPr>
          <w:b/>
          <w:sz w:val="52"/>
        </w:rPr>
      </w:pPr>
    </w:p>
    <w:p>
      <w:pPr>
        <w:pStyle w:val="BodyText"/>
        <w:spacing w:line="276" w:lineRule="auto"/>
        <w:ind w:left="100" w:right="113"/>
      </w:pPr>
      <w:r>
        <w:rPr/>
        <w:t>Please</w:t>
      </w:r>
      <w:r>
        <w:rPr>
          <w:spacing w:val="-3"/>
        </w:rPr>
        <w:t> </w:t>
      </w:r>
      <w:r>
        <w:rPr/>
        <w:t>use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form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notify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Animals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Science</w:t>
      </w:r>
      <w:r>
        <w:rPr>
          <w:spacing w:val="-1"/>
        </w:rPr>
        <w:t> </w:t>
      </w:r>
      <w:r>
        <w:rPr/>
        <w:t>Regulation</w:t>
      </w:r>
      <w:r>
        <w:rPr>
          <w:spacing w:val="-1"/>
        </w:rPr>
        <w:t> </w:t>
      </w:r>
      <w:r>
        <w:rPr/>
        <w:t>Unit</w:t>
      </w:r>
      <w:r>
        <w:rPr>
          <w:spacing w:val="-4"/>
        </w:rPr>
        <w:t> </w:t>
      </w:r>
      <w:r>
        <w:rPr/>
        <w:t>(ASRU)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procedural- related</w:t>
      </w:r>
      <w:r>
        <w:rPr>
          <w:spacing w:val="-2"/>
        </w:rPr>
        <w:t> </w:t>
      </w:r>
      <w:r>
        <w:rPr/>
        <w:t>adverse effects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have exceeded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are likely to</w:t>
      </w:r>
      <w:r>
        <w:rPr>
          <w:spacing w:val="-1"/>
        </w:rPr>
        <w:t> </w:t>
      </w:r>
      <w:r>
        <w:rPr/>
        <w:t>exceed</w:t>
      </w:r>
      <w:r>
        <w:rPr>
          <w:spacing w:val="-2"/>
        </w:rPr>
        <w:t> </w:t>
      </w:r>
      <w:r>
        <w:rPr/>
        <w:t>the severity limitations or controls described in the project licence. ASRU will use this information to determine whether any further action is required.</w:t>
      </w:r>
    </w:p>
    <w:p>
      <w:pPr>
        <w:pStyle w:val="BodyText"/>
        <w:spacing w:before="42"/>
      </w:pPr>
    </w:p>
    <w:p>
      <w:pPr>
        <w:pStyle w:val="BodyText"/>
        <w:ind w:left="100"/>
      </w:pP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use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report: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41" w:after="0"/>
        <w:ind w:left="820" w:right="0" w:hanging="360"/>
        <w:jc w:val="left"/>
        <w:rPr>
          <w:sz w:val="24"/>
        </w:rPr>
      </w:pPr>
      <w:r>
        <w:rPr>
          <w:sz w:val="24"/>
        </w:rPr>
        <w:t>adverse</w:t>
      </w:r>
      <w:r>
        <w:rPr>
          <w:spacing w:val="-5"/>
          <w:sz w:val="24"/>
        </w:rPr>
        <w:t> </w:t>
      </w:r>
      <w:r>
        <w:rPr>
          <w:sz w:val="24"/>
        </w:rPr>
        <w:t>effects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due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non-procedural</w:t>
      </w:r>
      <w:r>
        <w:rPr>
          <w:spacing w:val="-2"/>
          <w:sz w:val="24"/>
        </w:rPr>
        <w:t> issues;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40" w:after="0"/>
        <w:ind w:left="820" w:right="0" w:hanging="360"/>
        <w:jc w:val="left"/>
        <w:rPr>
          <w:sz w:val="24"/>
        </w:rPr>
      </w:pPr>
      <w:r>
        <w:rPr>
          <w:sz w:val="24"/>
        </w:rPr>
        <w:t>potential</w:t>
      </w:r>
      <w:r>
        <w:rPr>
          <w:spacing w:val="-4"/>
          <w:sz w:val="24"/>
        </w:rPr>
        <w:t> </w:t>
      </w:r>
      <w:r>
        <w:rPr>
          <w:sz w:val="24"/>
        </w:rPr>
        <w:t>non-compliance</w:t>
      </w:r>
      <w:r>
        <w:rPr>
          <w:spacing w:val="-3"/>
          <w:sz w:val="24"/>
        </w:rPr>
        <w:t> </w:t>
      </w:r>
      <w:r>
        <w:rPr>
          <w:sz w:val="24"/>
        </w:rPr>
        <w:t>(report</w:t>
      </w:r>
      <w:r>
        <w:rPr>
          <w:spacing w:val="-6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other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means);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40" w:after="0"/>
        <w:ind w:left="820" w:right="0" w:hanging="360"/>
        <w:jc w:val="left"/>
        <w:rPr>
          <w:sz w:val="24"/>
        </w:rPr>
      </w:pPr>
      <w:r>
        <w:rPr>
          <w:sz w:val="24"/>
        </w:rPr>
        <w:t>issues</w:t>
      </w:r>
      <w:r>
        <w:rPr>
          <w:spacing w:val="-4"/>
          <w:sz w:val="24"/>
        </w:rPr>
        <w:t> </w:t>
      </w:r>
      <w:r>
        <w:rPr>
          <w:sz w:val="24"/>
        </w:rPr>
        <w:t>without</w:t>
      </w:r>
      <w:r>
        <w:rPr>
          <w:spacing w:val="-4"/>
          <w:sz w:val="24"/>
        </w:rPr>
        <w:t> </w:t>
      </w:r>
      <w:r>
        <w:rPr>
          <w:sz w:val="24"/>
        </w:rPr>
        <w:t>adverse</w:t>
      </w:r>
      <w:r>
        <w:rPr>
          <w:spacing w:val="-6"/>
          <w:sz w:val="24"/>
        </w:rPr>
        <w:t> </w:t>
      </w:r>
      <w:r>
        <w:rPr>
          <w:sz w:val="24"/>
        </w:rPr>
        <w:t>welfare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consequences.</w:t>
      </w:r>
    </w:p>
    <w:p>
      <w:pPr>
        <w:pStyle w:val="BodyText"/>
        <w:spacing w:before="82"/>
      </w:pPr>
    </w:p>
    <w:p>
      <w:pPr>
        <w:pStyle w:val="BodyText"/>
        <w:spacing w:line="276" w:lineRule="auto"/>
        <w:ind w:left="100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are</w:t>
      </w:r>
      <w:r>
        <w:rPr>
          <w:spacing w:val="-2"/>
        </w:rPr>
        <w:t> </w:t>
      </w:r>
      <w:r>
        <w:rPr/>
        <w:t>in</w:t>
      </w:r>
      <w:r>
        <w:rPr>
          <w:spacing w:val="-4"/>
        </w:rPr>
        <w:t> </w:t>
      </w:r>
      <w:r>
        <w:rPr/>
        <w:t>doubt</w:t>
      </w:r>
      <w:r>
        <w:rPr>
          <w:spacing w:val="-4"/>
        </w:rPr>
        <w:t> </w:t>
      </w:r>
      <w:r>
        <w:rPr/>
        <w:t>whether</w:t>
      </w:r>
      <w:r>
        <w:rPr>
          <w:spacing w:val="-2"/>
        </w:rPr>
        <w:t> </w:t>
      </w:r>
      <w:r>
        <w:rPr/>
        <w:t>or</w:t>
      </w:r>
      <w:r>
        <w:rPr>
          <w:spacing w:val="-5"/>
        </w:rPr>
        <w:t> </w:t>
      </w:r>
      <w:r>
        <w:rPr/>
        <w:t>not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need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fill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form,</w:t>
      </w:r>
      <w:r>
        <w:rPr>
          <w:spacing w:val="-4"/>
        </w:rPr>
        <w:t> </w:t>
      </w:r>
      <w:r>
        <w:rPr/>
        <w:t>please</w:t>
      </w:r>
      <w:r>
        <w:rPr>
          <w:spacing w:val="-4"/>
        </w:rPr>
        <w:t> </w:t>
      </w:r>
      <w:r>
        <w:rPr/>
        <w:t>contact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assigned </w:t>
      </w:r>
      <w:r>
        <w:rPr>
          <w:spacing w:val="-2"/>
        </w:rPr>
        <w:t>Inspector.</w:t>
      </w:r>
    </w:p>
    <w:p>
      <w:pPr>
        <w:pStyle w:val="BodyText"/>
        <w:spacing w:before="40"/>
      </w:pPr>
    </w:p>
    <w:p>
      <w:pPr>
        <w:spacing w:line="276" w:lineRule="auto" w:before="0"/>
        <w:ind w:left="100" w:right="113" w:firstLine="0"/>
        <w:jc w:val="left"/>
        <w:rPr>
          <w:b/>
          <w:sz w:val="24"/>
        </w:rPr>
      </w:pPr>
      <w:r>
        <w:rPr>
          <w:sz w:val="24"/>
        </w:rPr>
        <w:t>Please clearly title your document: </w:t>
      </w:r>
      <w:r>
        <w:rPr>
          <w:b/>
          <w:color w:val="000000"/>
          <w:sz w:val="24"/>
          <w:highlight w:val="yellow"/>
        </w:rPr>
        <w:t>‘ASRU_establishment name_PPL number_PPLh</w:t>
      </w:r>
      <w:r>
        <w:rPr>
          <w:b/>
          <w:color w:val="000000"/>
          <w:sz w:val="24"/>
        </w:rPr>
        <w:t> </w:t>
      </w:r>
      <w:r>
        <w:rPr>
          <w:b/>
          <w:color w:val="000000"/>
          <w:sz w:val="24"/>
          <w:highlight w:val="yellow"/>
        </w:rPr>
        <w:t>surname_date_sc18’</w:t>
      </w:r>
      <w:r>
        <w:rPr>
          <w:b/>
          <w:color w:val="000000"/>
          <w:spacing w:val="-2"/>
          <w:sz w:val="24"/>
        </w:rPr>
        <w:t> </w:t>
      </w:r>
      <w:r>
        <w:rPr>
          <w:color w:val="000000"/>
          <w:sz w:val="24"/>
        </w:rPr>
        <w:t>and</w:t>
      </w:r>
      <w:r>
        <w:rPr>
          <w:color w:val="000000"/>
          <w:spacing w:val="-3"/>
          <w:sz w:val="24"/>
        </w:rPr>
        <w:t> </w:t>
      </w:r>
      <w:r>
        <w:rPr>
          <w:color w:val="000000"/>
          <w:sz w:val="24"/>
        </w:rPr>
        <w:t>send</w:t>
      </w:r>
      <w:r>
        <w:rPr>
          <w:color w:val="000000"/>
          <w:spacing w:val="-5"/>
          <w:sz w:val="24"/>
        </w:rPr>
        <w:t> </w:t>
      </w:r>
      <w:r>
        <w:rPr>
          <w:color w:val="000000"/>
          <w:sz w:val="24"/>
        </w:rPr>
        <w:t>to</w:t>
      </w:r>
      <w:r>
        <w:rPr>
          <w:color w:val="000000"/>
          <w:spacing w:val="-5"/>
          <w:sz w:val="24"/>
        </w:rPr>
        <w:t> </w:t>
      </w:r>
      <w:r>
        <w:rPr>
          <w:color w:val="000000"/>
          <w:sz w:val="24"/>
        </w:rPr>
        <w:t>your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</w:rPr>
        <w:t>Inspector</w:t>
      </w:r>
      <w:r>
        <w:rPr>
          <w:color w:val="000000"/>
          <w:spacing w:val="-3"/>
          <w:sz w:val="24"/>
        </w:rPr>
        <w:t> </w:t>
      </w:r>
      <w:r>
        <w:rPr>
          <w:color w:val="000000"/>
          <w:sz w:val="24"/>
        </w:rPr>
        <w:t>(e.g.</w:t>
      </w:r>
      <w:r>
        <w:rPr>
          <w:color w:val="000000"/>
          <w:spacing w:val="-5"/>
          <w:sz w:val="24"/>
        </w:rPr>
        <w:t> </w:t>
      </w:r>
      <w:r>
        <w:rPr>
          <w:color w:val="000000"/>
          <w:sz w:val="24"/>
        </w:rPr>
        <w:t>using</w:t>
      </w:r>
      <w:r>
        <w:rPr>
          <w:color w:val="000000"/>
          <w:spacing w:val="-3"/>
          <w:sz w:val="24"/>
        </w:rPr>
        <w:t> </w:t>
      </w:r>
      <w:r>
        <w:rPr>
          <w:color w:val="000000"/>
          <w:sz w:val="24"/>
        </w:rPr>
        <w:t>cjsm)</w:t>
      </w:r>
      <w:r>
        <w:rPr>
          <w:color w:val="000000"/>
          <w:spacing w:val="-6"/>
          <w:sz w:val="24"/>
        </w:rPr>
        <w:t> </w:t>
      </w:r>
      <w:r>
        <w:rPr>
          <w:color w:val="000000"/>
          <w:sz w:val="24"/>
        </w:rPr>
        <w:t>with</w:t>
      </w:r>
      <w:r>
        <w:rPr>
          <w:color w:val="000000"/>
          <w:spacing w:val="-2"/>
          <w:sz w:val="24"/>
        </w:rPr>
        <w:t> </w:t>
      </w:r>
      <w:r>
        <w:rPr>
          <w:color w:val="000000"/>
          <w:sz w:val="24"/>
        </w:rPr>
        <w:t>the</w:t>
      </w:r>
      <w:r>
        <w:rPr>
          <w:color w:val="000000"/>
          <w:spacing w:val="-5"/>
          <w:sz w:val="24"/>
        </w:rPr>
        <w:t> </w:t>
      </w:r>
      <w:r>
        <w:rPr>
          <w:color w:val="000000"/>
          <w:sz w:val="24"/>
        </w:rPr>
        <w:t>subject</w:t>
      </w:r>
      <w:r>
        <w:rPr>
          <w:color w:val="000000"/>
          <w:spacing w:val="-3"/>
          <w:sz w:val="24"/>
        </w:rPr>
        <w:t> </w:t>
      </w:r>
      <w:r>
        <w:rPr>
          <w:color w:val="000000"/>
          <w:sz w:val="24"/>
        </w:rPr>
        <w:t>heading ‘PPL SC 18 Notification PPL [Number] – </w:t>
      </w:r>
      <w:r>
        <w:rPr>
          <w:b/>
          <w:color w:val="000000"/>
          <w:sz w:val="24"/>
        </w:rPr>
        <w:t>Check Home Office’s Updated Bridging Ways of Working for updated advice on email addresses and subject headings. Cjsm no longer necessary.</w:t>
      </w:r>
    </w:p>
    <w:p>
      <w:pPr>
        <w:pStyle w:val="BodyText"/>
        <w:spacing w:before="102" w:after="1"/>
        <w:rPr>
          <w:b/>
          <w:sz w:val="20"/>
        </w:rPr>
      </w:pPr>
    </w:p>
    <w:tbl>
      <w:tblPr>
        <w:tblW w:w="0" w:type="auto"/>
        <w:jc w:val="left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6239"/>
      </w:tblGrid>
      <w:tr>
        <w:trPr>
          <w:trHeight w:val="717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 w:before="26"/>
              <w:ind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Establishment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Licence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6239" w:type="dxa"/>
          </w:tcPr>
          <w:p>
            <w:pPr>
              <w:pStyle w:val="TableParagraph"/>
              <w:spacing w:before="26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Cambridge</w:t>
            </w:r>
          </w:p>
        </w:tc>
      </w:tr>
      <w:tr>
        <w:trPr>
          <w:trHeight w:val="717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/>
              <w:ind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Establishment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Licence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X81BD37B1</w:t>
            </w:r>
          </w:p>
        </w:tc>
      </w:tr>
      <w:tr>
        <w:trPr>
          <w:trHeight w:val="510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PPL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holder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Nicholas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Morrell</w:t>
            </w:r>
          </w:p>
        </w:tc>
      </w:tr>
      <w:tr>
        <w:trPr>
          <w:trHeight w:val="510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PPL </w:t>
            </w:r>
            <w:r>
              <w:rPr>
                <w:b/>
                <w:spacing w:val="-2"/>
                <w:sz w:val="24"/>
              </w:rPr>
              <w:t>number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PP7550697</w:t>
            </w:r>
          </w:p>
        </w:tc>
      </w:tr>
      <w:tr>
        <w:trPr>
          <w:trHeight w:val="508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Protocol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</w:tr>
      <w:tr>
        <w:trPr>
          <w:trHeight w:val="719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Protocol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title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/>
              <w:ind w:right="163"/>
              <w:rPr>
                <w:sz w:val="24"/>
              </w:rPr>
            </w:pPr>
            <w:r>
              <w:rPr>
                <w:sz w:val="24"/>
              </w:rPr>
              <w:t>Phenotyping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pressure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monitoring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mouse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models of Pulmonary Hypertension (Mice)</w:t>
            </w:r>
          </w:p>
        </w:tc>
      </w:tr>
      <w:tr>
        <w:trPr>
          <w:trHeight w:val="511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Severity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classification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Moderate</w:t>
            </w:r>
          </w:p>
        </w:tc>
      </w:tr>
      <w:tr>
        <w:trPr>
          <w:trHeight w:val="508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before="2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> incident</w:t>
            </w:r>
          </w:p>
        </w:tc>
        <w:tc>
          <w:tcPr>
            <w:tcW w:w="6239" w:type="dxa"/>
          </w:tcPr>
          <w:p>
            <w:pPr>
              <w:pStyle w:val="TableParagraph"/>
              <w:spacing w:before="26"/>
              <w:rPr>
                <w:sz w:val="24"/>
              </w:rPr>
            </w:pPr>
            <w:r>
              <w:rPr>
                <w:spacing w:val="-2"/>
                <w:sz w:val="24"/>
              </w:rPr>
              <w:t>24/07/2024</w:t>
            </w:r>
          </w:p>
        </w:tc>
      </w:tr>
    </w:tbl>
    <w:p>
      <w:pPr>
        <w:spacing w:after="0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580" w:footer="818" w:top="1020" w:bottom="1000" w:left="980" w:right="980"/>
          <w:pgNumType w:start="1"/>
        </w:sectPr>
      </w:pPr>
    </w:p>
    <w:p>
      <w:pPr>
        <w:pStyle w:val="BodyText"/>
        <w:spacing w:before="229" w:after="1"/>
        <w:rPr>
          <w:b/>
          <w:sz w:val="20"/>
        </w:rPr>
      </w:pPr>
    </w:p>
    <w:tbl>
      <w:tblPr>
        <w:tblW w:w="0" w:type="auto"/>
        <w:jc w:val="left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6239"/>
      </w:tblGrid>
      <w:tr>
        <w:trPr>
          <w:trHeight w:val="508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before="2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> Species</w:t>
            </w:r>
          </w:p>
        </w:tc>
        <w:tc>
          <w:tcPr>
            <w:tcW w:w="6239" w:type="dxa"/>
          </w:tcPr>
          <w:p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2"/>
                <w:sz w:val="24"/>
              </w:rPr>
              <w:t>Mouse</w:t>
            </w:r>
          </w:p>
        </w:tc>
      </w:tr>
      <w:tr>
        <w:trPr>
          <w:trHeight w:val="5025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3. Brief details of study and how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limits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constraints have been breached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/>
              <w:ind w:right="56"/>
              <w:rPr>
                <w:sz w:val="24"/>
              </w:rPr>
            </w:pPr>
            <w:r>
              <w:rPr>
                <w:sz w:val="24"/>
              </w:rPr>
              <w:t>The mouse was treated with tamoxifen at a lower dose with 60 mg/kg instead of the previously used and published dose of 80 mg/kg. Tamoxifen was injected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daily for 5 days by ip to induce the knockout of endoglin and induce the disease phenotype. The mouse was supposed to undergo an ip injection of Evans Blue and culled 2 hours after to assess the leakage of the lungs. This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scheduled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30</w:t>
            </w:r>
            <w:r>
              <w:rPr>
                <w:position w:val="8"/>
                <w:sz w:val="16"/>
              </w:rPr>
              <w:t>th</w:t>
            </w:r>
            <w:r>
              <w:rPr>
                <w:spacing w:val="16"/>
                <w:position w:val="8"/>
                <w:sz w:val="16"/>
              </w:rPr>
              <w:t> </w:t>
            </w:r>
            <w:r>
              <w:rPr>
                <w:sz w:val="24"/>
              </w:rPr>
              <w:t>July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2024.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mouse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weight was measured three times a week. No clinical symptoms and no weight loss were observed. The mouse (NMAV70.2a) was found dead during the morning check 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animal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technician. 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severity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score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mouse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 severe, which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exceeds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severity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score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protocol which is moderate.</w:t>
            </w:r>
          </w:p>
        </w:tc>
      </w:tr>
      <w:tr>
        <w:trPr>
          <w:trHeight w:val="2042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 w:before="26"/>
              <w:ind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4. Have you taken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advice from the Named Animal Care and Welfare Officer/Named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Veterinary </w:t>
            </w:r>
            <w:r>
              <w:rPr>
                <w:b/>
                <w:spacing w:val="-2"/>
                <w:sz w:val="24"/>
              </w:rPr>
              <w:t>Surgeon/others?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 w:before="2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animal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technician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found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dead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mouse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during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 AM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checks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Wednesday.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discussed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re-evaluating the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of Tamoxifen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(despite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already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 lowered dose). The mice seem to be more sensitive to the tamoxifen dose than in the past.</w:t>
            </w:r>
          </w:p>
        </w:tc>
      </w:tr>
      <w:tr>
        <w:trPr>
          <w:trHeight w:val="2704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/>
              <w:ind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Cause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Problem,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if </w:t>
            </w:r>
            <w:r>
              <w:rPr>
                <w:b/>
                <w:spacing w:val="-2"/>
                <w:sz w:val="24"/>
              </w:rPr>
              <w:t>known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/>
              <w:ind w:right="163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most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likely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cause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problem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treatment with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Tamoxifen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(60mg/kg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days)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leads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 knockdown of endoglin in the endothelial cells, which leads to pulmonary hypertension and/or arteriovenous malformations (AVMs) in the pubic symphysis, which leads to heart failure (as published previously). The mouse did not show obvious cause of death.</w:t>
            </w:r>
          </w:p>
        </w:tc>
      </w:tr>
      <w:tr>
        <w:trPr>
          <w:trHeight w:val="2844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/>
              <w:ind w:right="74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Action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has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been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or will be taken</w:t>
            </w:r>
          </w:p>
          <w:p>
            <w:pPr>
              <w:pStyle w:val="TableParagraph"/>
              <w:spacing w:line="288" w:lineRule="auto" w:before="0"/>
              <w:ind w:right="74"/>
              <w:rPr>
                <w:i/>
                <w:sz w:val="22"/>
              </w:rPr>
            </w:pPr>
            <w:r>
              <w:rPr>
                <w:i/>
                <w:sz w:val="22"/>
              </w:rPr>
              <w:t>(For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example,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z w:val="22"/>
              </w:rPr>
              <w:t>formulation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z w:val="22"/>
              </w:rPr>
              <w:t>drug</w:t>
            </w:r>
            <w:r>
              <w:rPr>
                <w:i/>
                <w:sz w:val="22"/>
              </w:rPr>
              <w:t> changed, supportive treatment given, study design modified). If no action needed, indicate why (for example, none required as study has been terminated and will not be repeated)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/>
              <w:ind w:right="124"/>
              <w:jc w:val="both"/>
              <w:rPr>
                <w:sz w:val="24"/>
              </w:rPr>
            </w:pPr>
            <w:r>
              <w:rPr>
                <w:sz w:val="24"/>
              </w:rPr>
              <w:t>We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believe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individual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mouse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problem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increased severity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disease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post-tamoxifen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treatment,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we don’t anticipate this to happen again.</w:t>
            </w:r>
          </w:p>
          <w:p>
            <w:pPr>
              <w:pStyle w:val="TableParagraph"/>
              <w:spacing w:line="288" w:lineRule="auto" w:before="0"/>
              <w:ind w:right="202"/>
              <w:jc w:val="both"/>
              <w:rPr>
                <w:sz w:val="24"/>
              </w:rPr>
            </w:pPr>
            <w:r>
              <w:rPr>
                <w:sz w:val="24"/>
              </w:rPr>
              <w:t>However,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weigh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mice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frequently,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every weekday to prevent suffering and premature death.</w:t>
            </w:r>
          </w:p>
        </w:tc>
      </w:tr>
    </w:tbl>
    <w:p>
      <w:pPr>
        <w:spacing w:after="0" w:line="288" w:lineRule="auto"/>
        <w:jc w:val="both"/>
        <w:rPr>
          <w:sz w:val="24"/>
        </w:rPr>
        <w:sectPr>
          <w:pgSz w:w="11910" w:h="16840"/>
          <w:pgMar w:header="580" w:footer="818" w:top="1020" w:bottom="1000" w:left="980" w:right="980"/>
        </w:sectPr>
      </w:pPr>
    </w:p>
    <w:p>
      <w:pPr>
        <w:pStyle w:val="BodyText"/>
        <w:spacing w:before="229" w:after="1"/>
        <w:rPr>
          <w:b/>
          <w:sz w:val="20"/>
        </w:rPr>
      </w:pPr>
    </w:p>
    <w:tbl>
      <w:tblPr>
        <w:tblW w:w="0" w:type="auto"/>
        <w:jc w:val="left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6239"/>
      </w:tblGrid>
      <w:tr>
        <w:trPr>
          <w:trHeight w:val="717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before="2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Reported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(name)</w:t>
            </w:r>
          </w:p>
        </w:tc>
        <w:tc>
          <w:tcPr>
            <w:tcW w:w="6239" w:type="dxa"/>
          </w:tcPr>
          <w:p>
            <w:pPr>
              <w:pStyle w:val="TableParagraph"/>
              <w:spacing w:line="288" w:lineRule="auto" w:before="27"/>
              <w:ind w:right="3914"/>
              <w:rPr>
                <w:sz w:val="24"/>
              </w:rPr>
            </w:pPr>
            <w:r>
              <w:rPr>
                <w:sz w:val="24"/>
              </w:rPr>
              <w:t>Karolina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Kostrzyńska PhD student</w:t>
            </w:r>
          </w:p>
        </w:tc>
      </w:tr>
      <w:tr>
        <w:trPr>
          <w:trHeight w:val="510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24/07/2024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0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******************************For</w:t>
      </w:r>
      <w:r>
        <w:rPr>
          <w:b/>
          <w:spacing w:val="20"/>
          <w:sz w:val="24"/>
        </w:rPr>
        <w:t> </w:t>
      </w:r>
      <w:r>
        <w:rPr>
          <w:b/>
          <w:spacing w:val="-2"/>
          <w:sz w:val="24"/>
        </w:rPr>
        <w:t>official</w:t>
      </w:r>
      <w:r>
        <w:rPr>
          <w:b/>
          <w:spacing w:val="24"/>
          <w:sz w:val="24"/>
        </w:rPr>
        <w:t> </w:t>
      </w:r>
      <w:r>
        <w:rPr>
          <w:b/>
          <w:spacing w:val="-2"/>
          <w:sz w:val="24"/>
        </w:rPr>
        <w:t>use******************************************</w:t>
      </w:r>
    </w:p>
    <w:p>
      <w:pPr>
        <w:pStyle w:val="BodyText"/>
        <w:spacing w:before="229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28"/>
        </w:rPr>
      </w:pPr>
      <w:r>
        <w:rPr>
          <w:b/>
          <w:color w:val="6F2F9F"/>
          <w:sz w:val="28"/>
        </w:rPr>
        <w:t>Inspector’s</w:t>
      </w:r>
      <w:r>
        <w:rPr>
          <w:b/>
          <w:color w:val="6F2F9F"/>
          <w:spacing w:val="-7"/>
          <w:sz w:val="28"/>
        </w:rPr>
        <w:t> </w:t>
      </w:r>
      <w:r>
        <w:rPr>
          <w:b/>
          <w:color w:val="6F2F9F"/>
          <w:sz w:val="28"/>
        </w:rPr>
        <w:t>comments</w:t>
      </w:r>
      <w:r>
        <w:rPr>
          <w:b/>
          <w:color w:val="6F2F9F"/>
          <w:spacing w:val="-9"/>
          <w:sz w:val="28"/>
        </w:rPr>
        <w:t> </w:t>
      </w:r>
      <w:r>
        <w:rPr>
          <w:b/>
          <w:color w:val="6F2F9F"/>
          <w:sz w:val="28"/>
        </w:rPr>
        <w:t>and</w:t>
      </w:r>
      <w:r>
        <w:rPr>
          <w:b/>
          <w:color w:val="6F2F9F"/>
          <w:spacing w:val="-7"/>
          <w:sz w:val="28"/>
        </w:rPr>
        <w:t> </w:t>
      </w:r>
      <w:r>
        <w:rPr>
          <w:b/>
          <w:color w:val="6F2F9F"/>
          <w:spacing w:val="-2"/>
          <w:sz w:val="28"/>
        </w:rPr>
        <w:t>recommendations: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7" w:after="1"/>
        <w:rPr>
          <w:b/>
          <w:sz w:val="20"/>
        </w:rPr>
      </w:pPr>
    </w:p>
    <w:tbl>
      <w:tblPr>
        <w:tblW w:w="0" w:type="auto"/>
        <w:jc w:val="left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1"/>
        <w:gridCol w:w="6239"/>
      </w:tblGrid>
      <w:tr>
        <w:trPr>
          <w:trHeight w:val="8575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spacing w:line="288" w:lineRule="auto"/>
              <w:ind w:right="449"/>
              <w:rPr>
                <w:b/>
                <w:sz w:val="24"/>
              </w:rPr>
            </w:pPr>
            <w:r>
              <w:rPr>
                <w:b/>
                <w:sz w:val="24"/>
              </w:rPr>
              <w:t>Comments and </w:t>
            </w:r>
            <w:r>
              <w:rPr>
                <w:b/>
                <w:spacing w:val="-2"/>
                <w:sz w:val="24"/>
              </w:rPr>
              <w:t>recommendations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Thank you for submitting this notification and thereby complying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standard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condition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18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li- </w:t>
            </w:r>
            <w:r>
              <w:rPr>
                <w:spacing w:val="-2"/>
                <w:sz w:val="24"/>
              </w:rPr>
              <w:t>cence.</w:t>
            </w:r>
          </w:p>
          <w:p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However,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following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points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should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taken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con- </w:t>
            </w:r>
            <w:r>
              <w:rPr>
                <w:spacing w:val="-2"/>
                <w:sz w:val="24"/>
              </w:rPr>
              <w:t>sideration: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7" w:val="left" w:leader="none"/>
              </w:tabs>
              <w:spacing w:line="240" w:lineRule="auto" w:before="0" w:after="0"/>
              <w:ind w:left="777" w:right="203" w:hanging="360"/>
              <w:jc w:val="left"/>
              <w:rPr>
                <w:sz w:val="24"/>
              </w:rPr>
            </w:pPr>
            <w:r>
              <w:rPr>
                <w:sz w:val="24"/>
              </w:rPr>
              <w:t>if weight loss was not observed in the animal which died unexpectedly, please consider other options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just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increased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weighing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mitigate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 repeat issue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7" w:val="left" w:leader="none"/>
              </w:tabs>
              <w:spacing w:line="240" w:lineRule="auto" w:before="0" w:after="0"/>
              <w:ind w:left="777" w:right="57" w:hanging="360"/>
              <w:jc w:val="left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dose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tamoxifen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already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reduced, please ensure a thorough review of all aspects of this study that may have caused the issue, is also carried out.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77" w:val="left" w:leader="none"/>
              </w:tabs>
              <w:spacing w:line="240" w:lineRule="auto" w:before="0" w:after="0"/>
              <w:ind w:left="777" w:right="100" w:hanging="360"/>
              <w:jc w:val="lef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speak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NVS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determine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ad- vice regards investigation and mitigatory actions</w:t>
            </w:r>
          </w:p>
          <w:p>
            <w:pPr>
              <w:pStyle w:val="TableParagraph"/>
              <w:spacing w:before="274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inform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related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incidents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should they occur.</w:t>
            </w:r>
          </w:p>
          <w:p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content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this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SC18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report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has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been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 ASRU Inspector and this matter is now CLOSED.</w:t>
            </w:r>
          </w:p>
        </w:tc>
      </w:tr>
      <w:tr>
        <w:trPr>
          <w:trHeight w:val="717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Inspector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Watts</w:t>
            </w:r>
          </w:p>
        </w:tc>
      </w:tr>
      <w:tr>
        <w:trPr>
          <w:trHeight w:val="511" w:hRule="atLeast"/>
        </w:trPr>
        <w:tc>
          <w:tcPr>
            <w:tcW w:w="3401" w:type="dxa"/>
            <w:shd w:val="clear" w:color="auto" w:fill="F4E9F7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623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06/08/2024</w:t>
            </w:r>
          </w:p>
        </w:tc>
      </w:tr>
    </w:tbl>
    <w:sectPr>
      <w:pgSz w:w="11910" w:h="16840"/>
      <w:pgMar w:header="580" w:footer="818" w:top="1020" w:bottom="1000" w:left="9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8512">
              <wp:simplePos x="0" y="0"/>
              <wp:positionH relativeFrom="page">
                <wp:posOffset>6272276</wp:posOffset>
              </wp:positionH>
              <wp:positionV relativeFrom="page">
                <wp:posOffset>10033297</wp:posOffset>
              </wp:positionV>
              <wp:extent cx="617220" cy="16700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1722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v1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180503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3.880005pt;margin-top:790.023438pt;width:48.6pt;height:13.15pt;mso-position-horizontal-relative:page;mso-position-vertical-relative:page;z-index:-15827968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v1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180503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88000">
              <wp:simplePos x="0" y="0"/>
              <wp:positionH relativeFrom="page">
                <wp:posOffset>5282946</wp:posOffset>
              </wp:positionH>
              <wp:positionV relativeFrom="page">
                <wp:posOffset>355832</wp:posOffset>
              </wp:positionV>
              <wp:extent cx="1607185" cy="30988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7185" cy="309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8F22B3"/>
                              <w:spacing w:val="-2"/>
                              <w:sz w:val="40"/>
                              <w:highlight w:val="yellow"/>
                            </w:rPr>
                            <w:t>ID241452_FD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5.980011pt;margin-top:28.018303pt;width:126.55pt;height:24.4pt;mso-position-horizontal-relative:page;mso-position-vertical-relative:page;z-index:-15828480" type="#_x0000_t202" id="docshape1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8F22B3"/>
                        <w:spacing w:val="-2"/>
                        <w:sz w:val="40"/>
                        <w:highlight w:val="yellow"/>
                      </w:rPr>
                      <w:t>ID241452_FD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777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1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5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4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3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6F2F9F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8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Arial" w:hAnsi="Arial" w:eastAsia="Arial" w:cs="Arial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0"/>
      <w:ind w:left="82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9"/>
      <w:ind w:left="5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2024-08-14T13:51:18Z</dcterms:created>
  <dcterms:modified xsi:type="dcterms:W3CDTF">2024-08-14T13:51:18Z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2024-08-14T00:00:00Z</vt:filetime>
  </property>
  <property fmtid="{D5CDD505-2E9C-101B-9397-08002B2CF9AE}" pid="5" name="Producer">
    <vt:lpwstr>Microsoft® Word for Microsoft 365</vt:lpwstr>
  </property>
</Properties>
</file>