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8D" w:rsidRPr="006358FE" w:rsidRDefault="00DD3F02" w:rsidP="00A75B38">
      <w:pPr>
        <w:pStyle w:val="RxCHeading1"/>
        <w:rPr>
          <w:sz w:val="40"/>
          <w:szCs w:val="40"/>
        </w:rPr>
      </w:pPr>
      <w:bookmarkStart w:id="0" w:name="_GoBack"/>
      <w:bookmarkEnd w:id="0"/>
      <w:r>
        <w:rPr>
          <w:sz w:val="40"/>
          <w:szCs w:val="40"/>
        </w:rPr>
        <w:t>Guidance</w:t>
      </w:r>
      <w:r w:rsidR="00D31B57" w:rsidRPr="00D31B57">
        <w:rPr>
          <w:sz w:val="40"/>
          <w:szCs w:val="40"/>
        </w:rPr>
        <w:t xml:space="preserve"> </w:t>
      </w:r>
      <w:r>
        <w:rPr>
          <w:sz w:val="40"/>
          <w:szCs w:val="40"/>
        </w:rPr>
        <w:t>on</w:t>
      </w:r>
      <w:r w:rsidR="00D31B57" w:rsidRPr="00D31B57">
        <w:rPr>
          <w:sz w:val="40"/>
          <w:szCs w:val="40"/>
        </w:rPr>
        <w:t xml:space="preserve"> use of LPS in animal studies</w:t>
      </w:r>
    </w:p>
    <w:p w:rsidR="00BA1D76" w:rsidRDefault="00BA1D76" w:rsidP="00A75B38">
      <w:pPr>
        <w:pStyle w:val="RxCHeading1"/>
      </w:pPr>
      <w:r>
        <w:t>SUMMARY</w:t>
      </w:r>
    </w:p>
    <w:p w:rsidR="000A1C8D" w:rsidRPr="000A1C8D" w:rsidRDefault="000A1C8D" w:rsidP="000A1C8D">
      <w:pPr>
        <w:pStyle w:val="RxCBodyJustified13"/>
      </w:pPr>
    </w:p>
    <w:p w:rsidR="00BA1D76" w:rsidRDefault="00BA1D76" w:rsidP="00A75B38">
      <w:pPr>
        <w:pStyle w:val="RxCHeading2"/>
      </w:pPr>
      <w:r>
        <w:t>Key points</w:t>
      </w:r>
    </w:p>
    <w:p w:rsidR="000A1C8D" w:rsidRPr="000A1C8D" w:rsidRDefault="000A1C8D" w:rsidP="000A1C8D">
      <w:pPr>
        <w:pStyle w:val="RxCBodyJustified13"/>
      </w:pPr>
    </w:p>
    <w:p w:rsidR="00BA1D76" w:rsidRDefault="00BA1D76" w:rsidP="00BA1D76">
      <w:pPr>
        <w:pStyle w:val="ListParagraph"/>
        <w:numPr>
          <w:ilvl w:val="0"/>
          <w:numId w:val="5"/>
        </w:numPr>
      </w:pPr>
      <w:r>
        <w:t xml:space="preserve">Dose of LPS given in mg rather than EU. All </w:t>
      </w:r>
      <w:r w:rsidRPr="00032686">
        <w:t>contain endotoxin levels of not less than 500,000 EU</w:t>
      </w:r>
      <w:r>
        <w:t xml:space="preserve"> but exact amounts vary from batch to batch</w:t>
      </w:r>
      <w:r w:rsidR="000920FE">
        <w:t>. Need to standardise to EU/mg/animal and not absolute amount.</w:t>
      </w:r>
    </w:p>
    <w:p w:rsidR="000A1C8D" w:rsidRDefault="000A1C8D" w:rsidP="000A1C8D"/>
    <w:p w:rsidR="00BA1D76" w:rsidRDefault="00BA1D76" w:rsidP="00BA1D76">
      <w:pPr>
        <w:pStyle w:val="ListParagraph"/>
        <w:numPr>
          <w:ilvl w:val="0"/>
          <w:numId w:val="5"/>
        </w:numPr>
      </w:pPr>
      <w:r>
        <w:t>LPS serotypes. 5 types supplied by Sigma</w:t>
      </w:r>
    </w:p>
    <w:p w:rsidR="000A1C8D" w:rsidRDefault="000A1C8D" w:rsidP="000A1C8D"/>
    <w:p w:rsidR="00BA1D76" w:rsidRDefault="00BA1D76" w:rsidP="00BA1D76">
      <w:pPr>
        <w:pStyle w:val="ListParagraph"/>
        <w:numPr>
          <w:ilvl w:val="0"/>
          <w:numId w:val="5"/>
        </w:numPr>
      </w:pPr>
      <w:r>
        <w:t>Purification by different methods yield different amounts of contaminating protein and RNA</w:t>
      </w:r>
      <w:r w:rsidR="000920FE">
        <w:t>, which may result in different effects</w:t>
      </w:r>
    </w:p>
    <w:p w:rsidR="000A1C8D" w:rsidRDefault="000A1C8D" w:rsidP="000A1C8D"/>
    <w:p w:rsidR="00BA1D76" w:rsidRDefault="00BA1D76" w:rsidP="00BA1D76">
      <w:pPr>
        <w:pStyle w:val="ListParagraph"/>
        <w:numPr>
          <w:ilvl w:val="0"/>
          <w:numId w:val="5"/>
        </w:numPr>
      </w:pPr>
      <w:r>
        <w:t>Strain differences in sensitivity. Inbred strains are generally less sensitive than outbred</w:t>
      </w:r>
    </w:p>
    <w:p w:rsidR="000A1C8D" w:rsidRDefault="000A1C8D" w:rsidP="000A1C8D"/>
    <w:p w:rsidR="00BA1D76" w:rsidRDefault="00BA1D76" w:rsidP="00BA1D76">
      <w:pPr>
        <w:pStyle w:val="ListParagraph"/>
        <w:numPr>
          <w:ilvl w:val="0"/>
          <w:numId w:val="5"/>
        </w:numPr>
      </w:pPr>
      <w:r>
        <w:t xml:space="preserve">Sex differences in sensitivity. Males are generally </w:t>
      </w:r>
      <w:r w:rsidR="00923CC9">
        <w:t xml:space="preserve">less </w:t>
      </w:r>
      <w:r>
        <w:t>sensitive than females</w:t>
      </w:r>
      <w:r w:rsidR="00923CC9">
        <w:t xml:space="preserve"> but published data not consistent</w:t>
      </w:r>
    </w:p>
    <w:p w:rsidR="000A1C8D" w:rsidRDefault="000A1C8D" w:rsidP="000A1C8D"/>
    <w:p w:rsidR="00BA1D76" w:rsidRDefault="00BA1D76" w:rsidP="00BA1D76">
      <w:pPr>
        <w:pStyle w:val="ListParagraph"/>
        <w:numPr>
          <w:ilvl w:val="0"/>
          <w:numId w:val="5"/>
        </w:numPr>
      </w:pPr>
      <w:r>
        <w:t>Age differences. Senescent mice are generally more sensitive than young mice</w:t>
      </w:r>
    </w:p>
    <w:p w:rsidR="000A1C8D" w:rsidRDefault="000A1C8D" w:rsidP="000A1C8D"/>
    <w:p w:rsidR="00BA1D76" w:rsidRDefault="00BA1D76" w:rsidP="00BA1D76">
      <w:pPr>
        <w:pStyle w:val="ListParagraph"/>
        <w:numPr>
          <w:ilvl w:val="0"/>
          <w:numId w:val="5"/>
        </w:numPr>
      </w:pPr>
      <w:r>
        <w:t xml:space="preserve">Readout in response to LPS and time of measurement. % </w:t>
      </w:r>
      <w:r w:rsidR="000920FE">
        <w:t xml:space="preserve">of </w:t>
      </w:r>
      <w:r>
        <w:t>mice surviving historically used as an end-point at T=48 or 72</w:t>
      </w:r>
      <w:r w:rsidR="000920FE">
        <w:t xml:space="preserve"> </w:t>
      </w:r>
      <w:r>
        <w:t>h. Changes in TNF-alpha can be detected as early as 2h post injection.</w:t>
      </w:r>
      <w:r w:rsidR="000920FE">
        <w:t xml:space="preserve"> A change in body temp does NOT</w:t>
      </w:r>
      <w:r w:rsidR="00224517">
        <w:t xml:space="preserve"> correlate with changes in cytokine levels over time.</w:t>
      </w:r>
    </w:p>
    <w:p w:rsidR="002268EE" w:rsidRDefault="002268EE" w:rsidP="002268EE"/>
    <w:p w:rsidR="002268EE" w:rsidRDefault="002268EE" w:rsidP="002268EE"/>
    <w:p w:rsidR="00BA1D76" w:rsidRDefault="00BA1D76" w:rsidP="008958E2"/>
    <w:p w:rsidR="006B01E2" w:rsidRDefault="002268EE" w:rsidP="008958E2">
      <w:r w:rsidRPr="0082797C">
        <w:rPr>
          <w:noProof/>
          <w:lang w:eastAsia="en-GB"/>
        </w:rPr>
        <w:lastRenderedPageBreak/>
        <mc:AlternateContent>
          <mc:Choice Requires="wpg">
            <w:drawing>
              <wp:inline distT="0" distB="0" distL="0" distR="0" wp14:anchorId="18C415BF" wp14:editId="1AF72234">
                <wp:extent cx="5270500" cy="3844061"/>
                <wp:effectExtent l="0" t="0" r="0" b="0"/>
                <wp:docPr id="54" name="Group 2"/>
                <wp:cNvGraphicFramePr/>
                <a:graphic xmlns:a="http://schemas.openxmlformats.org/drawingml/2006/main">
                  <a:graphicData uri="http://schemas.microsoft.com/office/word/2010/wordprocessingGroup">
                    <wpg:wgp>
                      <wpg:cNvGrpSpPr/>
                      <wpg:grpSpPr>
                        <a:xfrm>
                          <a:off x="0" y="0"/>
                          <a:ext cx="5270500" cy="3844061"/>
                          <a:chOff x="0" y="0"/>
                          <a:chExt cx="5628953" cy="4203366"/>
                        </a:xfrm>
                      </wpg:grpSpPr>
                      <wps:wsp>
                        <wps:cNvPr id="55" name="Up Arrow 55"/>
                        <wps:cNvSpPr/>
                        <wps:spPr>
                          <a:xfrm>
                            <a:off x="1132175" y="27291"/>
                            <a:ext cx="2431786" cy="4144791"/>
                          </a:xfrm>
                          <a:prstGeom prst="upArrow">
                            <a:avLst/>
                          </a:prstGeom>
                          <a:gradFill flip="none" rotWithShape="1">
                            <a:gsLst>
                              <a:gs pos="9000">
                                <a:srgbClr val="4D2A82"/>
                              </a:gs>
                              <a:gs pos="100000">
                                <a:srgbClr val="FFFFFF"/>
                              </a:gs>
                            </a:gsLst>
                            <a:lin ang="3600000" scaled="0"/>
                            <a:tileRect/>
                          </a:gradFill>
                          <a:ln>
                            <a:solidFill>
                              <a:srgbClr val="4D2A82"/>
                            </a:solidFill>
                          </a:ln>
                          <a:effectLst/>
                        </wps:spPr>
                        <wps:style>
                          <a:lnRef idx="1">
                            <a:schemeClr val="accent1"/>
                          </a:lnRef>
                          <a:fillRef idx="3">
                            <a:schemeClr val="accent1"/>
                          </a:fillRef>
                          <a:effectRef idx="2">
                            <a:schemeClr val="accent1"/>
                          </a:effectRef>
                          <a:fontRef idx="minor">
                            <a:schemeClr val="lt1"/>
                          </a:fontRef>
                        </wps:style>
                        <wps:txbx>
                          <w:txbxContent>
                            <w:p w:rsidR="00563EEA" w:rsidRDefault="00563EEA" w:rsidP="002268EE">
                              <w:pPr>
                                <w:rPr>
                                  <w:rFonts w:eastAsia="Times New Roman" w:cs="Times New Roman"/>
                                </w:rPr>
                              </w:pPr>
                            </w:p>
                          </w:txbxContent>
                        </wps:txbx>
                        <wps:bodyPr rtlCol="0" anchor="ctr"/>
                      </wps:wsp>
                      <wps:wsp>
                        <wps:cNvPr id="56" name="Text Box 56"/>
                        <wps:cNvSpPr txBox="1"/>
                        <wps:spPr>
                          <a:xfrm>
                            <a:off x="3769179" y="3846420"/>
                            <a:ext cx="1477764" cy="356946"/>
                          </a:xfrm>
                          <a:prstGeom prst="rect">
                            <a:avLst/>
                          </a:prstGeom>
                          <a:noFill/>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C57Bl/6</w:t>
                              </w:r>
                            </w:p>
                          </w:txbxContent>
                        </wps:txbx>
                        <wps:bodyPr wrap="square" rtlCol="0">
                          <a:noAutofit/>
                        </wps:bodyPr>
                      </wps:wsp>
                      <wps:wsp>
                        <wps:cNvPr id="57" name="Rectangle 57"/>
                        <wps:cNvSpPr/>
                        <wps:spPr>
                          <a:xfrm>
                            <a:off x="3769179" y="3477135"/>
                            <a:ext cx="1172621"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CD1</w:t>
                              </w:r>
                            </w:p>
                          </w:txbxContent>
                        </wps:txbx>
                        <wps:bodyPr wrap="square">
                          <a:noAutofit/>
                        </wps:bodyPr>
                      </wps:wsp>
                      <wps:wsp>
                        <wps:cNvPr id="58" name="Rectangle 58"/>
                        <wps:cNvSpPr/>
                        <wps:spPr>
                          <a:xfrm>
                            <a:off x="3769179" y="2820470"/>
                            <a:ext cx="1695723"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Female C57Bl/6</w:t>
                              </w:r>
                            </w:p>
                          </w:txbxContent>
                        </wps:txbx>
                        <wps:bodyPr wrap="square">
                          <a:noAutofit/>
                        </wps:bodyPr>
                      </wps:wsp>
                      <wps:wsp>
                        <wps:cNvPr id="59" name="Rectangle 59"/>
                        <wps:cNvSpPr/>
                        <wps:spPr>
                          <a:xfrm>
                            <a:off x="3739704" y="2017760"/>
                            <a:ext cx="1775280" cy="848213"/>
                          </a:xfrm>
                          <a:prstGeom prst="rect">
                            <a:avLst/>
                          </a:prstGeom>
                        </wps:spPr>
                        <wps:txbx>
                          <w:txbxContent>
                            <w:p w:rsidR="00563EEA"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Male ApoE KO</w:t>
                              </w:r>
                            </w:p>
                            <w:p w:rsidR="00563EEA"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Female Balb/c</w:t>
                              </w:r>
                            </w:p>
                            <w:p w:rsidR="00563EEA" w:rsidRPr="00733FB4"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Male Balb/C</w:t>
                              </w:r>
                            </w:p>
                          </w:txbxContent>
                        </wps:txbx>
                        <wps:bodyPr wrap="square">
                          <a:noAutofit/>
                        </wps:bodyPr>
                      </wps:wsp>
                      <wps:wsp>
                        <wps:cNvPr id="60" name="Rectangle 60"/>
                        <wps:cNvSpPr/>
                        <wps:spPr>
                          <a:xfrm>
                            <a:off x="3769034" y="1577945"/>
                            <a:ext cx="1859919"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Female ApoE KO</w:t>
                              </w:r>
                            </w:p>
                          </w:txbxContent>
                        </wps:txbx>
                        <wps:bodyPr wrap="square">
                          <a:noAutofit/>
                        </wps:bodyPr>
                      </wps:wsp>
                      <wps:wsp>
                        <wps:cNvPr id="61" name="Rectangle 61"/>
                        <wps:cNvSpPr/>
                        <wps:spPr>
                          <a:xfrm>
                            <a:off x="3769034" y="893131"/>
                            <a:ext cx="1390580"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Female CD1</w:t>
                              </w:r>
                            </w:p>
                          </w:txbxContent>
                        </wps:txbx>
                        <wps:bodyPr wrap="square">
                          <a:noAutofit/>
                        </wps:bodyPr>
                      </wps:wsp>
                      <wps:wsp>
                        <wps:cNvPr id="62" name="Text Box 62"/>
                        <wps:cNvSpPr txBox="1"/>
                        <wps:spPr>
                          <a:xfrm>
                            <a:off x="0" y="1957287"/>
                            <a:ext cx="1554776" cy="1385505"/>
                          </a:xfrm>
                          <a:prstGeom prst="rect">
                            <a:avLst/>
                          </a:prstGeom>
                          <a:noFill/>
                        </wps:spPr>
                        <wps:txbx>
                          <w:txbxContent>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Increase  in</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response</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 xml:space="preserve">to </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LPS</w:t>
                              </w:r>
                            </w:p>
                          </w:txbxContent>
                        </wps:txbx>
                        <wps:bodyPr wrap="square" rtlCol="0">
                          <a:noAutofit/>
                        </wps:bodyPr>
                      </wps:wsp>
                      <wps:wsp>
                        <wps:cNvPr id="63" name="Rectangle 63"/>
                        <wps:cNvSpPr/>
                        <wps:spPr>
                          <a:xfrm>
                            <a:off x="3769223" y="0"/>
                            <a:ext cx="1663756"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b/>
                                  <w:bCs/>
                                  <w:i/>
                                  <w:iCs/>
                                  <w:color w:val="404040"/>
                                  <w:kern w:val="24"/>
                                  <w:sz w:val="32"/>
                                  <w:szCs w:val="32"/>
                                  <w:lang w:val="en-US"/>
                                </w:rPr>
                                <w:t>Mouse Strains</w:t>
                              </w:r>
                            </w:p>
                          </w:txbxContent>
                        </wps:txbx>
                        <wps:bodyPr wrap="square">
                          <a:noAutofit/>
                        </wps:bodyPr>
                      </wps:wsp>
                      <wps:wsp>
                        <wps:cNvPr id="64" name="Rectangle 64"/>
                        <wps:cNvSpPr/>
                        <wps:spPr>
                          <a:xfrm>
                            <a:off x="3769223" y="3212531"/>
                            <a:ext cx="1426907" cy="356946"/>
                          </a:xfrm>
                          <a:prstGeom prst="rect">
                            <a:avLst/>
                          </a:prstGeom>
                        </wps:spPr>
                        <wps:txb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DBA-1J</w:t>
                              </w:r>
                            </w:p>
                          </w:txbxContent>
                        </wps:txbx>
                        <wps:bodyPr wrap="square">
                          <a:noAutofit/>
                        </wps:bodyPr>
                      </wps:wsp>
                    </wpg:wgp>
                  </a:graphicData>
                </a:graphic>
              </wp:inline>
            </w:drawing>
          </mc:Choice>
          <mc:Fallback>
            <w:pict>
              <v:group w14:anchorId="18C415BF" id="Group 2" o:spid="_x0000_s1026" style="width:415pt;height:302.7pt;mso-position-horizontal-relative:char;mso-position-vertical-relative:line" coordsize="56289,42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5" o:spid="_x0000_s1027" type="#_x0000_t68" style="position:absolute;left:11321;top:272;width:24318;height:41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" adj="6336" fillcolor="#4d2a82" strokecolor="#4d2a82">
                  <v:fill rotate="t" angle="30" colors="0 #4d2a82;5898f #4d2a82" focus="100%" type="gradient">
                    <o:fill v:ext="view" type="gradientUnscaled"/>
                  </v:fill>
                  <v:textbox>
                    <w:txbxContent>
                      <w:p w:rsidR="00563EEA" w:rsidRDefault="00563EEA" w:rsidP="002268EE">
                        <w:pPr>
                          <w:rPr>
                            <w:rFonts w:eastAsia="Times New Roman" w:cs="Times New Roman"/>
                          </w:rPr>
                        </w:pPr>
                      </w:p>
                    </w:txbxContent>
                  </v:textbox>
                </v:shape>
                <v:shapetype id="_x0000_t202" coordsize="21600,21600" o:spt="202" path="m,l,21600r21600,l21600,xe">
                  <v:stroke joinstyle="miter"/>
                  <v:path gradientshapeok="t" o:connecttype="rect"/>
                </v:shapetype>
                <v:shape id="Text Box 56" o:spid="_x0000_s1028" type="#_x0000_t202" style="position:absolute;left:37691;top:38464;width:14778;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C57Bl/6</w:t>
                        </w:r>
                      </w:p>
                    </w:txbxContent>
                  </v:textbox>
                </v:shape>
                <v:rect id="Rectangle 57" o:spid="_x0000_s1029" style="position:absolute;left:37691;top:34771;width:11727;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9arxAAAANsAAAAPAAAAZHJzL2Rvd25yZXYueG1sRI9Ba8JA&#10;FITvBf/D8gQvohuFVk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BaP1qvEAAAA2wAAAA8A&#10;AAAAAAAAAAAAAAAABwIAAGRycy9kb3ducmV2LnhtbFBLBQYAAAAAAwADALcAAAD4Ag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CD1</w:t>
                        </w:r>
                      </w:p>
                    </w:txbxContent>
                  </v:textbox>
                </v:rect>
                <v:rect id="Rectangle 58" o:spid="_x0000_s1030" style="position:absolute;left:37691;top:28204;width:16958;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LZwgAAANsAAAAPAAAAZHJzL2Rvd25yZXYueG1sRE9Na4NA&#10;EL0H+h+WKeQS4ppCSz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BnEELZwgAAANsAAAAPAAAA&#10;AAAAAAAAAAAAAAcCAABkcnMvZG93bnJldi54bWxQSwUGAAAAAAMAAwC3AAAA9gI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Female C57Bl/6</w:t>
                        </w:r>
                      </w:p>
                    </w:txbxContent>
                  </v:textbox>
                </v:rect>
                <v:rect id="Rectangle 59" o:spid="_x0000_s1031" style="position:absolute;left:37397;top:20177;width:17752;height:8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textbox>
                    <w:txbxContent>
                      <w:p w:rsidR="00563EEA"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 xml:space="preserve">Male </w:t>
                        </w:r>
                        <w:proofErr w:type="spellStart"/>
                        <w:r>
                          <w:rPr>
                            <w:rFonts w:ascii="Gill Sans MT" w:hAnsi="Gill Sans MT" w:cs="Gill Sans MT"/>
                            <w:color w:val="404040"/>
                            <w:kern w:val="24"/>
                            <w:sz w:val="32"/>
                            <w:szCs w:val="32"/>
                            <w:lang w:val="en-US"/>
                          </w:rPr>
                          <w:t>ApoE</w:t>
                        </w:r>
                        <w:proofErr w:type="spellEnd"/>
                        <w:r>
                          <w:rPr>
                            <w:rFonts w:ascii="Gill Sans MT" w:hAnsi="Gill Sans MT" w:cs="Gill Sans MT"/>
                            <w:color w:val="404040"/>
                            <w:kern w:val="24"/>
                            <w:sz w:val="32"/>
                            <w:szCs w:val="32"/>
                            <w:lang w:val="en-US"/>
                          </w:rPr>
                          <w:t xml:space="preserve"> KO</w:t>
                        </w:r>
                      </w:p>
                      <w:p w:rsidR="00563EEA"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 xml:space="preserve">Female </w:t>
                        </w:r>
                        <w:proofErr w:type="spellStart"/>
                        <w:r>
                          <w:rPr>
                            <w:rFonts w:ascii="Gill Sans MT" w:hAnsi="Gill Sans MT" w:cs="Gill Sans MT"/>
                            <w:color w:val="404040"/>
                            <w:kern w:val="24"/>
                            <w:sz w:val="32"/>
                            <w:szCs w:val="32"/>
                            <w:lang w:val="en-US"/>
                          </w:rPr>
                          <w:t>Balb</w:t>
                        </w:r>
                        <w:proofErr w:type="spellEnd"/>
                        <w:r>
                          <w:rPr>
                            <w:rFonts w:ascii="Gill Sans MT" w:hAnsi="Gill Sans MT" w:cs="Gill Sans MT"/>
                            <w:color w:val="404040"/>
                            <w:kern w:val="24"/>
                            <w:sz w:val="32"/>
                            <w:szCs w:val="32"/>
                            <w:lang w:val="en-US"/>
                          </w:rPr>
                          <w:t>/c</w:t>
                        </w:r>
                      </w:p>
                      <w:p w:rsidR="00563EEA" w:rsidRPr="00733FB4" w:rsidRDefault="00563EEA" w:rsidP="002268EE">
                        <w:pPr>
                          <w:pStyle w:val="NormalWeb"/>
                          <w:spacing w:before="0" w:beforeAutospacing="0" w:after="0" w:afterAutospacing="0"/>
                          <w:rPr>
                            <w:rFonts w:ascii="Gill Sans MT" w:hAnsi="Gill Sans MT" w:cs="Gill Sans MT"/>
                            <w:color w:val="404040"/>
                            <w:kern w:val="24"/>
                            <w:sz w:val="32"/>
                            <w:szCs w:val="32"/>
                            <w:lang w:val="en-US"/>
                          </w:rPr>
                        </w:pPr>
                        <w:r>
                          <w:rPr>
                            <w:rFonts w:ascii="Gill Sans MT" w:hAnsi="Gill Sans MT" w:cs="Gill Sans MT"/>
                            <w:color w:val="404040"/>
                            <w:kern w:val="24"/>
                            <w:sz w:val="32"/>
                            <w:szCs w:val="32"/>
                            <w:lang w:val="en-US"/>
                          </w:rPr>
                          <w:t xml:space="preserve">Male </w:t>
                        </w:r>
                        <w:proofErr w:type="spellStart"/>
                        <w:r>
                          <w:rPr>
                            <w:rFonts w:ascii="Gill Sans MT" w:hAnsi="Gill Sans MT" w:cs="Gill Sans MT"/>
                            <w:color w:val="404040"/>
                            <w:kern w:val="24"/>
                            <w:sz w:val="32"/>
                            <w:szCs w:val="32"/>
                            <w:lang w:val="en-US"/>
                          </w:rPr>
                          <w:t>Balb</w:t>
                        </w:r>
                        <w:proofErr w:type="spellEnd"/>
                        <w:r>
                          <w:rPr>
                            <w:rFonts w:ascii="Gill Sans MT" w:hAnsi="Gill Sans MT" w:cs="Gill Sans MT"/>
                            <w:color w:val="404040"/>
                            <w:kern w:val="24"/>
                            <w:sz w:val="32"/>
                            <w:szCs w:val="32"/>
                            <w:lang w:val="en-US"/>
                          </w:rPr>
                          <w:t>/C</w:t>
                        </w:r>
                      </w:p>
                    </w:txbxContent>
                  </v:textbox>
                </v:rect>
                <v:rect id="Rectangle 60" o:spid="_x0000_s1032" style="position:absolute;left:37690;top:15779;width:18599;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 xml:space="preserve">Female </w:t>
                        </w:r>
                        <w:proofErr w:type="spellStart"/>
                        <w:r>
                          <w:rPr>
                            <w:rFonts w:ascii="Gill Sans MT" w:hAnsi="Gill Sans MT" w:cs="Gill Sans MT"/>
                            <w:color w:val="404040"/>
                            <w:kern w:val="24"/>
                            <w:sz w:val="32"/>
                            <w:szCs w:val="32"/>
                            <w:lang w:val="en-US"/>
                          </w:rPr>
                          <w:t>ApoE</w:t>
                        </w:r>
                        <w:proofErr w:type="spellEnd"/>
                        <w:r>
                          <w:rPr>
                            <w:rFonts w:ascii="Gill Sans MT" w:hAnsi="Gill Sans MT" w:cs="Gill Sans MT"/>
                            <w:color w:val="404040"/>
                            <w:kern w:val="24"/>
                            <w:sz w:val="32"/>
                            <w:szCs w:val="32"/>
                            <w:lang w:val="en-US"/>
                          </w:rPr>
                          <w:t xml:space="preserve"> KO</w:t>
                        </w:r>
                      </w:p>
                    </w:txbxContent>
                  </v:textbox>
                </v:rect>
                <v:rect id="Rectangle 61" o:spid="_x0000_s1033" style="position:absolute;left:37690;top:8931;width:13906;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Female CD1</w:t>
                        </w:r>
                      </w:p>
                    </w:txbxContent>
                  </v:textbox>
                </v:rect>
                <v:shape id="Text Box 62" o:spid="_x0000_s1034" type="#_x0000_t202" style="position:absolute;top:19572;width:15547;height:13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Increase  in</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response</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 xml:space="preserve">to </w:t>
                        </w:r>
                      </w:p>
                      <w:p w:rsidR="00563EEA" w:rsidRDefault="00563EEA" w:rsidP="002268EE">
                        <w:pPr>
                          <w:pStyle w:val="NormalWeb"/>
                          <w:spacing w:before="0" w:beforeAutospacing="0" w:after="0" w:afterAutospacing="0"/>
                          <w:jc w:val="center"/>
                        </w:pPr>
                        <w:r>
                          <w:rPr>
                            <w:rFonts w:ascii="Gill Sans MT" w:hAnsi="Gill Sans MT" w:cs="Gill Sans MT"/>
                            <w:color w:val="003560"/>
                            <w:kern w:val="24"/>
                            <w:sz w:val="40"/>
                            <w:szCs w:val="40"/>
                            <w:lang w:val="en-US"/>
                          </w:rPr>
                          <w:t>LPS</w:t>
                        </w:r>
                      </w:p>
                    </w:txbxContent>
                  </v:textbox>
                </v:shape>
                <v:rect id="Rectangle 63" o:spid="_x0000_s1035" style="position:absolute;left:37692;width:16637;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textbox>
                    <w:txbxContent>
                      <w:p w:rsidR="00563EEA" w:rsidRDefault="00563EEA" w:rsidP="002268EE">
                        <w:pPr>
                          <w:pStyle w:val="NormalWeb"/>
                          <w:spacing w:before="0" w:beforeAutospacing="0" w:after="0" w:afterAutospacing="0"/>
                        </w:pPr>
                        <w:r>
                          <w:rPr>
                            <w:rFonts w:ascii="Gill Sans MT" w:hAnsi="Gill Sans MT" w:cs="Gill Sans MT"/>
                            <w:b/>
                            <w:bCs/>
                            <w:i/>
                            <w:iCs/>
                            <w:color w:val="404040"/>
                            <w:kern w:val="24"/>
                            <w:sz w:val="32"/>
                            <w:szCs w:val="32"/>
                            <w:lang w:val="en-US"/>
                          </w:rPr>
                          <w:t>Mouse Strains</w:t>
                        </w:r>
                      </w:p>
                    </w:txbxContent>
                  </v:textbox>
                </v:rect>
                <v:rect id="Rectangle 64" o:spid="_x0000_s1036" style="position:absolute;left:37692;top:32125;width:14269;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JhxQAAANsAAAAPAAAAZHJzL2Rvd25yZXYueG1sRI9Ba8JA&#10;FITvBf/D8oReSt1YR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AoMYJhxQAAANsAAAAP&#10;AAAAAAAAAAAAAAAAAAcCAABkcnMvZG93bnJldi54bWxQSwUGAAAAAAMAAwC3AAAA+QIAAAAA&#10;" filled="f" stroked="f">
                  <v:textbox>
                    <w:txbxContent>
                      <w:p w:rsidR="00563EEA" w:rsidRDefault="00563EEA" w:rsidP="002268EE">
                        <w:pPr>
                          <w:pStyle w:val="NormalWeb"/>
                          <w:spacing w:before="0" w:beforeAutospacing="0" w:after="0" w:afterAutospacing="0"/>
                        </w:pPr>
                        <w:r>
                          <w:rPr>
                            <w:rFonts w:ascii="Gill Sans MT" w:hAnsi="Gill Sans MT" w:cs="Gill Sans MT"/>
                            <w:color w:val="404040"/>
                            <w:kern w:val="24"/>
                            <w:sz w:val="32"/>
                            <w:szCs w:val="32"/>
                            <w:lang w:val="en-US"/>
                          </w:rPr>
                          <w:t>Male DBA-1J</w:t>
                        </w:r>
                      </w:p>
                    </w:txbxContent>
                  </v:textbox>
                </v:rect>
                <w10:anchorlock/>
              </v:group>
            </w:pict>
          </mc:Fallback>
        </mc:AlternateContent>
      </w:r>
    </w:p>
    <w:p w:rsidR="002268EE" w:rsidRDefault="002268EE" w:rsidP="008958E2"/>
    <w:p w:rsidR="002268EE" w:rsidRDefault="002268EE" w:rsidP="008958E2"/>
    <w:p w:rsidR="002268EE" w:rsidRPr="000A5BB8" w:rsidRDefault="000A1C8D" w:rsidP="002268EE">
      <w:pPr>
        <w:pStyle w:val="RxCLegendTable"/>
        <w:jc w:val="both"/>
        <w:rPr>
          <w:color w:val="003560"/>
        </w:rPr>
      </w:pPr>
      <w:r>
        <w:t xml:space="preserve">Figure 1: </w:t>
      </w:r>
      <w:r w:rsidR="002268EE">
        <w:t xml:space="preserve">Schematic diagram to illustrate the susceptibility of different mouse strains and sex </w:t>
      </w:r>
      <w:r w:rsidR="00A92AB3">
        <w:t xml:space="preserve">(all same age of 8 weeks) </w:t>
      </w:r>
      <w:r w:rsidR="002268EE">
        <w:t xml:space="preserve">in response to the intra-peritoneal injection of an equivalent dose in Endotoxin Units of LPS </w:t>
      </w:r>
      <w:r w:rsidR="002268EE" w:rsidRPr="008C337A">
        <w:t>E. coli</w:t>
      </w:r>
      <w:r w:rsidR="002268EE">
        <w:t xml:space="preserve"> 0111:B4 (</w:t>
      </w:r>
      <w:r w:rsidR="00BF2B55">
        <w:t>~</w:t>
      </w:r>
      <w:r w:rsidR="002268EE">
        <w:t xml:space="preserve">675,000 EU) based on a number of pro-inflammatory markers at 2 h </w:t>
      </w:r>
      <w:r w:rsidR="002268EE" w:rsidRPr="000A5BB8">
        <w:rPr>
          <w:color w:val="003560"/>
        </w:rPr>
        <w:t>(data provided by RxCelerate Limited).</w:t>
      </w:r>
    </w:p>
    <w:p w:rsidR="002268EE" w:rsidRDefault="002268EE" w:rsidP="008958E2"/>
    <w:p w:rsidR="002268EE" w:rsidRDefault="002268EE" w:rsidP="008958E2"/>
    <w:p w:rsidR="00AF4986" w:rsidRDefault="00AF4986" w:rsidP="00A75B38">
      <w:pPr>
        <w:pStyle w:val="RxCHeading2"/>
      </w:pPr>
      <w:r>
        <w:t>Animals</w:t>
      </w:r>
    </w:p>
    <w:p w:rsidR="008958E2" w:rsidRDefault="008958E2" w:rsidP="008958E2">
      <w:pPr>
        <w:rPr>
          <w:rFonts w:eastAsia="Times New Roman" w:cs="Times New Roman"/>
        </w:rPr>
      </w:pPr>
      <w:r>
        <w:rPr>
          <w:rFonts w:eastAsia="Times New Roman" w:cs="Times New Roman"/>
        </w:rPr>
        <w:t>Injecting mice with purified LPS via either the intraperitoneal (i.p.) route or the intravenous (i.v.) route leads to systemic activation of the innate immune system. If the dose of LPS is large enough, then the animals manifest physiological and biochemical changes that are reminiscent of certain very fulminant forms of gram-negative bacterial infection in humans, most notably overwhelming meningococcemia.</w:t>
      </w:r>
    </w:p>
    <w:p w:rsidR="00502B48" w:rsidRDefault="00502B48" w:rsidP="008958E2">
      <w:pPr>
        <w:rPr>
          <w:rFonts w:eastAsia="Times New Roman" w:cs="Times New Roman"/>
        </w:rPr>
      </w:pPr>
    </w:p>
    <w:p w:rsidR="008958E2" w:rsidRDefault="008958E2" w:rsidP="008958E2">
      <w:pPr>
        <w:rPr>
          <w:rFonts w:eastAsia="Times New Roman" w:cs="Times New Roman"/>
        </w:rPr>
      </w:pPr>
      <w:r>
        <w:rPr>
          <w:rFonts w:eastAsia="Times New Roman" w:cs="Times New Roman"/>
        </w:rPr>
        <w:t>Activation of systemic inflammation by LPS in mice is largely mediated via interaction of the bacterial product with Toll-like receptor (TLR) 4, which is expressed on the surface of immune cells, such as monocytes and macrophages, as well as many other cell types, including alveolar epithelial cells and myocardial cells.</w:t>
      </w:r>
    </w:p>
    <w:p w:rsidR="00502B48" w:rsidRDefault="00502B48" w:rsidP="00502B48">
      <w:pPr>
        <w:rPr>
          <w:rFonts w:eastAsia="Times New Roman" w:cs="Times New Roman"/>
        </w:rPr>
      </w:pPr>
    </w:p>
    <w:p w:rsidR="00411429" w:rsidRDefault="008950F6" w:rsidP="00A75B38">
      <w:pPr>
        <w:pStyle w:val="RxCHeading2"/>
      </w:pPr>
      <w:r>
        <w:t>Strain differences</w:t>
      </w:r>
    </w:p>
    <w:p w:rsidR="00502B48" w:rsidRDefault="00502B48" w:rsidP="00502B48">
      <w:pPr>
        <w:rPr>
          <w:rFonts w:eastAsia="Times New Roman" w:cs="Times New Roman"/>
          <w:vertAlign w:val="superscript"/>
        </w:rPr>
      </w:pPr>
      <w:r>
        <w:rPr>
          <w:rFonts w:eastAsia="Times New Roman" w:cs="Times New Roman"/>
        </w:rPr>
        <w:t>Strain differences in the murine system can markedly affect immunological responses. Certain inbred strains, such as C3H/HeJ mice, C57BL10/ScC</w:t>
      </w:r>
      <w:r w:rsidR="006E42CE" w:rsidRPr="006E42CE">
        <w:rPr>
          <w:rFonts w:eastAsia="Times New Roman" w:cs="Times New Roman"/>
        </w:rPr>
        <w:t>,</w:t>
      </w:r>
      <w:r w:rsidR="006E42CE">
        <w:rPr>
          <w:rFonts w:eastAsia="Times New Roman" w:cs="Times New Roman"/>
        </w:rPr>
        <w:t xml:space="preserve"> C3H/HeOuJ </w:t>
      </w:r>
      <w:r>
        <w:rPr>
          <w:rFonts w:eastAsia="Times New Roman" w:cs="Times New Roman"/>
        </w:rPr>
        <w:t>and TLR4-deficient mice,</w:t>
      </w:r>
      <w:r>
        <w:rPr>
          <w:rFonts w:eastAsia="Times New Roman" w:cs="Times New Roman"/>
          <w:vertAlign w:val="superscript"/>
        </w:rPr>
        <w:t xml:space="preserve"> </w:t>
      </w:r>
      <w:r>
        <w:rPr>
          <w:rFonts w:eastAsia="Times New Roman" w:cs="Times New Roman"/>
        </w:rPr>
        <w:t>are hyporesponsive to LPS, whilst C3H/HeN mice are LPS-sensitive.</w:t>
      </w:r>
      <w:r>
        <w:rPr>
          <w:rFonts w:eastAsia="Times New Roman" w:cs="Times New Roman"/>
          <w:vertAlign w:val="superscript"/>
        </w:rPr>
        <w:t xml:space="preserve"> </w:t>
      </w:r>
    </w:p>
    <w:p w:rsidR="003E75DC" w:rsidRDefault="003E75DC" w:rsidP="00502B48">
      <w:pPr>
        <w:rPr>
          <w:rFonts w:eastAsia="Times New Roman" w:cs="Times New Roman"/>
        </w:rPr>
      </w:pPr>
    </w:p>
    <w:p w:rsidR="00A97D95" w:rsidRDefault="00B766A1" w:rsidP="00502B48">
      <w:pPr>
        <w:rPr>
          <w:rFonts w:eastAsia="Times New Roman" w:cs="Times New Roman"/>
        </w:rPr>
      </w:pPr>
      <w:r>
        <w:rPr>
          <w:rFonts w:eastAsia="Times New Roman" w:cs="Times New Roman"/>
        </w:rPr>
        <w:t xml:space="preserve">The </w:t>
      </w:r>
      <w:r w:rsidR="00A97D95">
        <w:rPr>
          <w:rFonts w:eastAsia="Times New Roman" w:cs="Times New Roman"/>
        </w:rPr>
        <w:t>LD50 for C57BL/6 mice is 25-30 mg/kg but &lt;10 mg/kg for CD1 mice</w:t>
      </w:r>
      <w:r w:rsidR="008950F6">
        <w:rPr>
          <w:rFonts w:eastAsia="Times New Roman" w:cs="Times New Roman"/>
        </w:rPr>
        <w:t>.</w:t>
      </w:r>
      <w:r>
        <w:rPr>
          <w:rFonts w:eastAsia="Times New Roman" w:cs="Times New Roman"/>
        </w:rPr>
        <w:t xml:space="preserve"> CD-1 mice are among the most commonly used research mice as an outbred stock</w:t>
      </w:r>
      <w:r w:rsidR="00024355">
        <w:rPr>
          <w:rFonts w:eastAsia="Times New Roman" w:cs="Times New Roman"/>
        </w:rPr>
        <w:t>.</w:t>
      </w:r>
    </w:p>
    <w:p w:rsidR="008C556D" w:rsidRDefault="008C556D" w:rsidP="00502B48">
      <w:pPr>
        <w:rPr>
          <w:rFonts w:eastAsia="Times New Roman" w:cs="Times New Roman"/>
        </w:rPr>
      </w:pPr>
    </w:p>
    <w:p w:rsidR="008950F6" w:rsidRDefault="008950F6" w:rsidP="008950F6">
      <w:pPr>
        <w:pStyle w:val="RxCBodyJustified13"/>
      </w:pPr>
      <w:r>
        <w:t xml:space="preserve">Nikodemova </w:t>
      </w:r>
      <w:r w:rsidRPr="003E75DC">
        <w:rPr>
          <w:i/>
        </w:rPr>
        <w:t>et al.</w:t>
      </w:r>
      <w:r>
        <w:t xml:space="preserve"> Neuroscience 2011;190:67-74. </w:t>
      </w:r>
      <w:r w:rsidRPr="00CB7966">
        <w:t>Outbred ICR/CD1 mice display more severe neuroinflammation mediated by microglial TLR4/CD14 activation than inbred C57Bl/6 mice</w:t>
      </w:r>
      <w:r w:rsidR="00024355">
        <w:t>.</w:t>
      </w:r>
    </w:p>
    <w:p w:rsidR="003E75DC" w:rsidRDefault="003E75DC" w:rsidP="008950F6">
      <w:pPr>
        <w:pStyle w:val="RxCBodyJustified13"/>
      </w:pPr>
    </w:p>
    <w:p w:rsidR="008950F6" w:rsidRDefault="008950F6" w:rsidP="008950F6">
      <w:pPr>
        <w:pStyle w:val="RxCBodyJustified13"/>
        <w:rPr>
          <w:rFonts w:eastAsia="Times New Roman" w:cs="Times New Roman"/>
        </w:rPr>
      </w:pPr>
      <w:r>
        <w:rPr>
          <w:rFonts w:eastAsia="Times New Roman" w:cs="Times New Roman"/>
        </w:rPr>
        <w:t xml:space="preserve">Thomas RC </w:t>
      </w:r>
      <w:r w:rsidRPr="003E75DC">
        <w:rPr>
          <w:rFonts w:eastAsia="Times New Roman" w:cs="Times New Roman"/>
          <w:i/>
        </w:rPr>
        <w:t>et al</w:t>
      </w:r>
      <w:r>
        <w:rPr>
          <w:rFonts w:eastAsia="Times New Roman" w:cs="Times New Roman"/>
        </w:rPr>
        <w:t>. Peptideds 2014;61:55-60 In C57BL/6 mice LPS 0.85 mg/kg injection produced no septic response, whereas 1.2 mg/kg produced a profound response within 5h. In BALB/c mice, LPS 4 mg/kg produced no response, whereas 7 mg/kg resulted in a profound response within 24h.</w:t>
      </w:r>
      <w:r w:rsidR="00B766A1">
        <w:rPr>
          <w:rFonts w:eastAsia="Times New Roman" w:cs="Times New Roman"/>
        </w:rPr>
        <w:t xml:space="preserve"> BALB/c is an albino, immunodeficient inbred strain.</w:t>
      </w:r>
    </w:p>
    <w:p w:rsidR="003E75DC" w:rsidRPr="00CB7966" w:rsidRDefault="003E75DC" w:rsidP="008950F6">
      <w:pPr>
        <w:pStyle w:val="RxCBodyJustified13"/>
      </w:pPr>
    </w:p>
    <w:p w:rsidR="008950F6" w:rsidRDefault="002B1CD2" w:rsidP="00502B48">
      <w:pPr>
        <w:rPr>
          <w:rFonts w:eastAsia="Times New Roman" w:cs="Times New Roman"/>
        </w:rPr>
      </w:pPr>
      <w:r>
        <w:rPr>
          <w:rFonts w:eastAsia="Times New Roman" w:cs="Times New Roman"/>
        </w:rPr>
        <w:t xml:space="preserve">Hwang </w:t>
      </w:r>
      <w:r w:rsidRPr="003E75DC">
        <w:rPr>
          <w:rFonts w:eastAsia="Times New Roman" w:cs="Times New Roman"/>
          <w:i/>
        </w:rPr>
        <w:t>et al</w:t>
      </w:r>
      <w:r>
        <w:rPr>
          <w:rFonts w:eastAsia="Times New Roman" w:cs="Times New Roman"/>
        </w:rPr>
        <w:t xml:space="preserve"> Mediators of inflammation 2012; </w:t>
      </w:r>
      <w:r w:rsidR="00EE6B74" w:rsidRPr="00EE6B74">
        <w:rPr>
          <w:rFonts w:eastAsia="Times New Roman" w:cs="Times New Roman"/>
        </w:rPr>
        <w:t>Endotoxemia was induced in BALB/c mice (male, 6-7 weeks, 20–25</w:t>
      </w:r>
      <w:r w:rsidR="00EE6B74" w:rsidRPr="00EE6B74">
        <w:rPr>
          <w:rFonts w:ascii="Times New Roman" w:eastAsia="Times New Roman" w:hAnsi="Times New Roman" w:cs="Times New Roman"/>
        </w:rPr>
        <w:t> </w:t>
      </w:r>
      <w:r w:rsidR="00EE6B74" w:rsidRPr="00EE6B74">
        <w:rPr>
          <w:rFonts w:eastAsia="Times New Roman" w:cs="Times New Roman"/>
        </w:rPr>
        <w:t>g) by intraperitoneal injection of bacterial endotoxin (10</w:t>
      </w:r>
      <w:r w:rsidR="00EE6B74" w:rsidRPr="00EE6B74">
        <w:rPr>
          <w:rFonts w:ascii="Times New Roman" w:eastAsia="Times New Roman" w:hAnsi="Times New Roman" w:cs="Times New Roman"/>
        </w:rPr>
        <w:t> </w:t>
      </w:r>
      <w:r w:rsidR="00EE6B74" w:rsidRPr="00EE6B74">
        <w:rPr>
          <w:rFonts w:eastAsia="Times New Roman" w:cs="Times New Roman"/>
        </w:rPr>
        <w:t>mg/kg, Escherichia coli LPS 0111:B4),</w:t>
      </w:r>
      <w:r w:rsidR="00EE6B74">
        <w:rPr>
          <w:rFonts w:eastAsia="Times New Roman" w:cs="Times New Roman"/>
        </w:rPr>
        <w:t xml:space="preserve"> </w:t>
      </w:r>
      <w:r w:rsidR="00EE6B74" w:rsidRPr="00EE6B74">
        <w:rPr>
          <w:rFonts w:eastAsia="Times New Roman" w:cs="Times New Roman"/>
        </w:rPr>
        <w:t>and housed</w:t>
      </w:r>
      <w:r w:rsidR="00EE6B74">
        <w:rPr>
          <w:rFonts w:eastAsia="Times New Roman" w:cs="Times New Roman"/>
        </w:rPr>
        <w:t xml:space="preserve"> in a pathogen-free environment </w:t>
      </w:r>
      <w:r w:rsidR="00EE6B74" w:rsidRPr="00EE6B74">
        <w:rPr>
          <w:rFonts w:eastAsia="Times New Roman" w:cs="Times New Roman"/>
        </w:rPr>
        <w:t>followed 30</w:t>
      </w:r>
      <w:r w:rsidR="00EE6B74" w:rsidRPr="00EE6B74">
        <w:rPr>
          <w:rFonts w:ascii="Times New Roman" w:eastAsia="Times New Roman" w:hAnsi="Times New Roman" w:cs="Times New Roman"/>
        </w:rPr>
        <w:t> </w:t>
      </w:r>
      <w:r w:rsidR="00EE6B74" w:rsidRPr="00EE6B74">
        <w:rPr>
          <w:rFonts w:eastAsia="Times New Roman" w:cs="Times New Roman"/>
        </w:rPr>
        <w:t>min later by a lethal infusion of endotoxin (LPS, 10</w:t>
      </w:r>
      <w:r w:rsidR="00EE6B74" w:rsidRPr="00EE6B74">
        <w:rPr>
          <w:rFonts w:ascii="Times New Roman" w:eastAsia="Times New Roman" w:hAnsi="Times New Roman" w:cs="Times New Roman"/>
        </w:rPr>
        <w:t> </w:t>
      </w:r>
      <w:r w:rsidR="00EE6B74" w:rsidRPr="00EE6B74">
        <w:rPr>
          <w:rFonts w:eastAsia="Times New Roman" w:cs="Times New Roman"/>
        </w:rPr>
        <w:t>mg/kg, i.p.)</w:t>
      </w:r>
      <w:r w:rsidR="00EE6B74">
        <w:rPr>
          <w:rFonts w:eastAsia="Times New Roman" w:cs="Times New Roman"/>
        </w:rPr>
        <w:t xml:space="preserve"> 100% lethality by 72 h.</w:t>
      </w:r>
    </w:p>
    <w:p w:rsidR="003E75DC" w:rsidRDefault="003E75DC" w:rsidP="00502B48">
      <w:pPr>
        <w:rPr>
          <w:rFonts w:eastAsia="Times New Roman" w:cs="Times New Roman"/>
        </w:rPr>
      </w:pPr>
    </w:p>
    <w:p w:rsidR="00A97D95" w:rsidRDefault="002B1CD2" w:rsidP="00502B48">
      <w:pPr>
        <w:rPr>
          <w:rFonts w:eastAsia="Times New Roman" w:cs="Times New Roman"/>
        </w:rPr>
      </w:pPr>
      <w:r>
        <w:rPr>
          <w:rFonts w:eastAsia="Times New Roman" w:cs="Times New Roman"/>
        </w:rPr>
        <w:t>Takaoka Y Nature 2014 LPS (i.p. 20</w:t>
      </w:r>
      <w:r>
        <w:rPr>
          <w:rFonts w:ascii="Times New Roman" w:eastAsia="Times New Roman" w:hAnsi="Times New Roman" w:cs="Times New Roman"/>
        </w:rPr>
        <w:t> </w:t>
      </w:r>
      <w:r>
        <w:rPr>
          <w:rFonts w:eastAsia="Times New Roman" w:cs="Times New Roman"/>
        </w:rPr>
        <w:t>mg/kg) injection in BALBc mice. 100% lethality by 48h.</w:t>
      </w:r>
    </w:p>
    <w:p w:rsidR="002B1CD2" w:rsidRDefault="002B1CD2" w:rsidP="00502B48">
      <w:pPr>
        <w:rPr>
          <w:rFonts w:eastAsia="Times New Roman" w:cs="Times New Roman"/>
        </w:rPr>
      </w:pPr>
    </w:p>
    <w:p w:rsidR="00502B48" w:rsidRDefault="00502B48" w:rsidP="00502B48">
      <w:pPr>
        <w:rPr>
          <w:rFonts w:eastAsia="Times New Roman" w:cs="Times New Roman"/>
        </w:rPr>
      </w:pPr>
      <w:r>
        <w:rPr>
          <w:rFonts w:eastAsia="Times New Roman" w:cs="Times New Roman"/>
        </w:rPr>
        <w:t>Compared with humans, mice, even “normally responsive” strains, are remarkably less sensitive to the toxic or lethal effects of LPS.</w:t>
      </w:r>
      <w:r w:rsidRPr="00D80CE7">
        <w:rPr>
          <w:rFonts w:eastAsia="Times New Roman" w:cs="Times New Roman"/>
        </w:rPr>
        <w:t xml:space="preserve"> </w:t>
      </w:r>
      <w:r>
        <w:rPr>
          <w:rFonts w:eastAsia="Times New Roman" w:cs="Times New Roman"/>
        </w:rPr>
        <w:t>When the gene expression profile for human endotoxemia was compared with the gene expression profile for murine endotoxem</w:t>
      </w:r>
      <w:r w:rsidR="006358FE">
        <w:rPr>
          <w:rFonts w:eastAsia="Times New Roman" w:cs="Times New Roman"/>
        </w:rPr>
        <w:t>i</w:t>
      </w:r>
      <w:r>
        <w:rPr>
          <w:rFonts w:eastAsia="Times New Roman" w:cs="Times New Roman"/>
        </w:rPr>
        <w:t xml:space="preserve">a, the Pearson correlation analysis yielded an </w:t>
      </w:r>
      <w:r>
        <w:rPr>
          <w:rStyle w:val="Emphasis"/>
          <w:rFonts w:eastAsia="Times New Roman" w:cs="Times New Roman"/>
        </w:rPr>
        <w:t>R</w:t>
      </w:r>
      <w:r>
        <w:rPr>
          <w:rFonts w:eastAsia="Times New Roman" w:cs="Times New Roman"/>
          <w:vertAlign w:val="superscript"/>
        </w:rPr>
        <w:t>2</w:t>
      </w:r>
      <w:r>
        <w:rPr>
          <w:rFonts w:eastAsia="Times New Roman" w:cs="Times New Roman"/>
        </w:rPr>
        <w:t xml:space="preserve"> value of 0.01 (i.e., essentially </w:t>
      </w:r>
      <w:r w:rsidR="003E75DC">
        <w:rPr>
          <w:rFonts w:eastAsia="Times New Roman" w:cs="Times New Roman"/>
        </w:rPr>
        <w:t>NO</w:t>
      </w:r>
      <w:r>
        <w:rPr>
          <w:rFonts w:eastAsia="Times New Roman" w:cs="Times New Roman"/>
        </w:rPr>
        <w:t xml:space="preserve"> correlation at all</w:t>
      </w:r>
      <w:r w:rsidR="003E75DC">
        <w:rPr>
          <w:rFonts w:eastAsia="Times New Roman" w:cs="Times New Roman"/>
        </w:rPr>
        <w:t>!</w:t>
      </w:r>
      <w:r>
        <w:rPr>
          <w:rFonts w:eastAsia="Times New Roman" w:cs="Times New Roman"/>
        </w:rPr>
        <w:t>).</w:t>
      </w:r>
    </w:p>
    <w:p w:rsidR="003E75DC" w:rsidRDefault="003E75DC" w:rsidP="00502B48">
      <w:pPr>
        <w:rPr>
          <w:rFonts w:eastAsia="Times New Roman" w:cs="Times New Roman"/>
        </w:rPr>
      </w:pPr>
    </w:p>
    <w:p w:rsidR="00502B48" w:rsidRDefault="00502B48" w:rsidP="00502B48">
      <w:pPr>
        <w:rPr>
          <w:rFonts w:eastAsia="Times New Roman" w:cs="Times New Roman"/>
          <w:vertAlign w:val="superscript"/>
        </w:rPr>
      </w:pPr>
      <w:r>
        <w:rPr>
          <w:rFonts w:eastAsia="Times New Roman" w:cs="Times New Roman"/>
        </w:rPr>
        <w:t>The biological mechanism(s) that are responsible for this enormous difference remain to be fully elucidated, but recent evidence suggests that one or more factors, which are present in murine sera, but are absent (or present in much lower concentrations) in human sera, are capable of suppressing the production of pro-inflammatory cytokines by murine (or human) mononuclear cells following stimulation with LPS or other TLR agonists, such as peptidoglycan (major component of the cell wall of gram-positive bacteria), zymosan (a glucan present in the cell wall of yeast) or bacterial DNA. One of these factors may be the iron-binding acute phase protein, hemopexin.</w:t>
      </w:r>
      <w:r>
        <w:rPr>
          <w:rFonts w:eastAsia="Times New Roman" w:cs="Times New Roman"/>
          <w:vertAlign w:val="superscript"/>
        </w:rPr>
        <w:t xml:space="preserve"> </w:t>
      </w:r>
    </w:p>
    <w:p w:rsidR="00502B48" w:rsidRDefault="00502B48" w:rsidP="00502B48">
      <w:pPr>
        <w:rPr>
          <w:rFonts w:eastAsia="Times New Roman" w:cs="Times New Roman"/>
        </w:rPr>
      </w:pPr>
    </w:p>
    <w:p w:rsidR="00502B48" w:rsidRPr="00D80CE7" w:rsidRDefault="00502B48" w:rsidP="00502B48">
      <w:pPr>
        <w:rPr>
          <w:b/>
        </w:rPr>
      </w:pPr>
      <w:r>
        <w:rPr>
          <w:rFonts w:eastAsia="Times New Roman" w:cs="Times New Roman"/>
        </w:rPr>
        <w:t>Mitchell P Fink</w:t>
      </w:r>
      <w:r w:rsidR="00AF4986">
        <w:rPr>
          <w:rFonts w:eastAsia="Times New Roman" w:cs="Times New Roman"/>
        </w:rPr>
        <w:t xml:space="preserve">. </w:t>
      </w:r>
      <w:r>
        <w:rPr>
          <w:rFonts w:eastAsia="Times New Roman" w:cs="Times New Roman"/>
        </w:rPr>
        <w:t xml:space="preserve"> Animal models of sespsis. Virulence 2014;5:143-145</w:t>
      </w:r>
    </w:p>
    <w:p w:rsidR="00502B48" w:rsidRDefault="008C556D" w:rsidP="008C556D">
      <w:pPr>
        <w:spacing w:line="240" w:lineRule="auto"/>
        <w:jc w:val="left"/>
      </w:pPr>
      <w:r>
        <w:br w:type="page"/>
      </w:r>
    </w:p>
    <w:p w:rsidR="008958E2" w:rsidRDefault="00957676" w:rsidP="00A75B38">
      <w:pPr>
        <w:pStyle w:val="RxCHeading2"/>
      </w:pPr>
      <w:r>
        <w:t>Gender differences</w:t>
      </w:r>
    </w:p>
    <w:p w:rsidR="00957676" w:rsidRDefault="00563EEA">
      <w:pPr>
        <w:rPr>
          <w:rFonts w:eastAsia="Times New Roman" w:cs="Times New Roman"/>
        </w:rPr>
      </w:pPr>
      <w:r>
        <w:rPr>
          <w:rFonts w:eastAsia="Times New Roman" w:cs="Times New Roman"/>
        </w:rPr>
        <w:t xml:space="preserve">Consistent with our data, </w:t>
      </w:r>
      <w:r w:rsidR="00957676">
        <w:rPr>
          <w:rFonts w:eastAsia="Times New Roman" w:cs="Times New Roman"/>
        </w:rPr>
        <w:t>Mabley, JPET 2005 showed female mice to be less sensitive to LPS than males (strain information not given)</w:t>
      </w:r>
    </w:p>
    <w:p w:rsidR="006B01E2" w:rsidRDefault="006B01E2">
      <w:pPr>
        <w:rPr>
          <w:rFonts w:eastAsia="Times New Roman" w:cs="Times New Roman"/>
        </w:rPr>
      </w:pPr>
    </w:p>
    <w:p w:rsidR="005A2DFE" w:rsidRDefault="00CA3582" w:rsidP="005A2DFE">
      <w:pPr>
        <w:pStyle w:val="RxCBodyJustified13"/>
      </w:pPr>
      <w:r w:rsidRPr="00CA3582">
        <w:rPr>
          <w:rStyle w:val="HTMLCite"/>
          <w:rFonts w:eastAsia="Times New Roman" w:cs="Times New Roman"/>
          <w:i w:val="0"/>
        </w:rPr>
        <w:t>Von Drygalski Arteriosclerosis, Thrombosis, and Vascular Biology</w:t>
      </w:r>
      <w:r>
        <w:rPr>
          <w:rStyle w:val="HTMLCite"/>
          <w:rFonts w:eastAsia="Times New Roman" w:cs="Times New Roman"/>
        </w:rPr>
        <w:t>.</w:t>
      </w:r>
      <w:r>
        <w:rPr>
          <w:rStyle w:val="slug-pub-date"/>
          <w:rFonts w:eastAsia="Times New Roman"/>
          <w:i/>
          <w:iCs/>
        </w:rPr>
        <w:t xml:space="preserve"> </w:t>
      </w:r>
      <w:r w:rsidRPr="00CA3582">
        <w:rPr>
          <w:rStyle w:val="slug-pub-date"/>
          <w:rFonts w:eastAsia="Times New Roman"/>
          <w:iCs/>
        </w:rPr>
        <w:t xml:space="preserve">2013; </w:t>
      </w:r>
      <w:r w:rsidRPr="00CA3582">
        <w:rPr>
          <w:rStyle w:val="slug-vol"/>
          <w:rFonts w:eastAsia="Times New Roman"/>
          <w:iCs/>
        </w:rPr>
        <w:t xml:space="preserve">33: </w:t>
      </w:r>
      <w:r w:rsidRPr="00CA3582">
        <w:rPr>
          <w:rStyle w:val="slug-pages"/>
          <w:rFonts w:eastAsia="Times New Roman" w:cs="Times New Roman"/>
          <w:iCs/>
        </w:rPr>
        <w:t>769-776</w:t>
      </w:r>
      <w:r w:rsidR="008B0042">
        <w:rPr>
          <w:rStyle w:val="slug-pages"/>
          <w:rFonts w:eastAsia="Times New Roman" w:cs="Times New Roman"/>
          <w:iCs/>
        </w:rPr>
        <w:t xml:space="preserve"> male C57</w:t>
      </w:r>
      <w:r>
        <w:rPr>
          <w:rStyle w:val="slug-pages"/>
          <w:rFonts w:eastAsia="Times New Roman" w:cs="Times New Roman"/>
          <w:iCs/>
        </w:rPr>
        <w:t>BL/6 mice are less sensitive than female.</w:t>
      </w:r>
      <w:r w:rsidR="005A2DFE">
        <w:rPr>
          <w:rStyle w:val="slug-pages"/>
          <w:rFonts w:eastAsia="Times New Roman" w:cs="Times New Roman"/>
          <w:iCs/>
        </w:rPr>
        <w:t xml:space="preserve"> </w:t>
      </w:r>
      <w:r w:rsidR="005A2DFE">
        <w:t xml:space="preserve">E. coli (0111:B4) </w:t>
      </w:r>
      <w:r w:rsidR="005A2DFE" w:rsidRPr="005A2DFE">
        <w:t xml:space="preserve">male mice: LD25 [5.8 mg/kg], LD40 [8.9 mg/kg], and LD50 [10.8 mg/kg]; and female mice: LD25 [3.7 mg/kg], LD40 [5.2 mg/kg], and LD50 [6.9 mg/kg]). </w:t>
      </w:r>
      <w:r w:rsidR="00563EEA">
        <w:t xml:space="preserve"> </w:t>
      </w:r>
    </w:p>
    <w:p w:rsidR="008C556D" w:rsidRPr="005A2DFE" w:rsidRDefault="008C556D" w:rsidP="005A2DFE">
      <w:pPr>
        <w:pStyle w:val="RxCBodyJustified13"/>
      </w:pPr>
    </w:p>
    <w:p w:rsidR="008B0042" w:rsidRDefault="008B0042">
      <w:pPr>
        <w:rPr>
          <w:rFonts w:eastAsia="Times New Roman" w:cs="Times New Roman"/>
        </w:rPr>
      </w:pPr>
      <w:r>
        <w:rPr>
          <w:rStyle w:val="slug-pages"/>
          <w:rFonts w:eastAsia="Times New Roman" w:cs="Times New Roman"/>
          <w:iCs/>
        </w:rPr>
        <w:t xml:space="preserve">Queen </w:t>
      </w:r>
      <w:r w:rsidRPr="008C556D">
        <w:rPr>
          <w:rStyle w:val="slug-pages"/>
          <w:rFonts w:eastAsia="Times New Roman" w:cs="Times New Roman"/>
          <w:i/>
          <w:iCs/>
        </w:rPr>
        <w:t>et al</w:t>
      </w:r>
      <w:r>
        <w:rPr>
          <w:rStyle w:val="slug-pages"/>
          <w:rFonts w:eastAsia="Times New Roman" w:cs="Times New Roman"/>
          <w:iCs/>
        </w:rPr>
        <w:t xml:space="preserve"> PLOS</w:t>
      </w:r>
      <w:r w:rsidR="001B3ACC">
        <w:rPr>
          <w:rStyle w:val="slug-pages"/>
          <w:rFonts w:eastAsia="Times New Roman" w:cs="Times New Roman"/>
          <w:iCs/>
        </w:rPr>
        <w:t xml:space="preserve"> </w:t>
      </w:r>
      <w:r>
        <w:rPr>
          <w:rStyle w:val="slug-pages"/>
          <w:rFonts w:eastAsia="Times New Roman" w:cs="Times New Roman"/>
          <w:iCs/>
        </w:rPr>
        <w:t xml:space="preserve">one </w:t>
      </w:r>
      <w:r w:rsidR="001B3ACC">
        <w:rPr>
          <w:rStyle w:val="slug-pages"/>
          <w:rFonts w:eastAsia="Times New Roman" w:cs="Times New Roman"/>
          <w:iCs/>
        </w:rPr>
        <w:t>201</w:t>
      </w:r>
      <w:r w:rsidR="00563EEA">
        <w:rPr>
          <w:rStyle w:val="slug-pages"/>
          <w:rFonts w:eastAsia="Times New Roman" w:cs="Times New Roman"/>
          <w:iCs/>
        </w:rPr>
        <w:t>1</w:t>
      </w:r>
      <w:r w:rsidR="001B3ACC">
        <w:rPr>
          <w:rStyle w:val="slug-pages"/>
          <w:rFonts w:eastAsia="Times New Roman" w:cs="Times New Roman"/>
          <w:iCs/>
        </w:rPr>
        <w:t xml:space="preserve">;11:1-136 </w:t>
      </w:r>
      <w:r>
        <w:rPr>
          <w:rStyle w:val="slug-pages"/>
          <w:rFonts w:eastAsia="Times New Roman" w:cs="Times New Roman"/>
          <w:iCs/>
        </w:rPr>
        <w:t xml:space="preserve">compared responses in male and female mice. </w:t>
      </w:r>
      <w:r>
        <w:rPr>
          <w:rFonts w:eastAsia="Times New Roman" w:cs="Times New Roman"/>
        </w:rPr>
        <w:t>Interleukin-6 (IL-6), macrophage inflammatory protein-I</w:t>
      </w:r>
      <w:r>
        <w:rPr>
          <w:rFonts w:ascii="Times New Roman" w:eastAsia="Times New Roman" w:hAnsi="Times New Roman" w:cs="Times New Roman"/>
        </w:rPr>
        <w:t>β</w:t>
      </w:r>
      <w:r>
        <w:rPr>
          <w:rFonts w:eastAsia="Times New Roman" w:cs="Times New Roman"/>
        </w:rPr>
        <w:t xml:space="preserve"> (MIP-1</w:t>
      </w:r>
      <w:r>
        <w:rPr>
          <w:rFonts w:ascii="Times New Roman" w:eastAsia="Times New Roman" w:hAnsi="Times New Roman" w:cs="Times New Roman"/>
        </w:rPr>
        <w:t>β</w:t>
      </w:r>
      <w:r>
        <w:rPr>
          <w:rFonts w:eastAsia="Times New Roman" w:cs="Times New Roman"/>
        </w:rPr>
        <w:t>), tumor necrosis factor alpha (TNF-</w:t>
      </w:r>
      <w:r>
        <w:rPr>
          <w:rFonts w:ascii="Times New Roman" w:eastAsia="Times New Roman" w:hAnsi="Times New Roman" w:cs="Times New Roman"/>
        </w:rPr>
        <w:t>α</w:t>
      </w:r>
      <w:r>
        <w:rPr>
          <w:rFonts w:eastAsia="Times New Roman" w:cs="Times New Roman"/>
        </w:rPr>
        <w:t>) and interleukin-1</w:t>
      </w:r>
      <w:r>
        <w:rPr>
          <w:rFonts w:ascii="Times New Roman" w:eastAsia="Times New Roman" w:hAnsi="Times New Roman" w:cs="Times New Roman"/>
        </w:rPr>
        <w:t>β</w:t>
      </w:r>
      <w:r>
        <w:rPr>
          <w:rFonts w:eastAsia="Times New Roman" w:cs="Times New Roman"/>
        </w:rPr>
        <w:t xml:space="preserve"> (IL-1</w:t>
      </w:r>
      <w:r>
        <w:rPr>
          <w:rFonts w:ascii="Times New Roman" w:eastAsia="Times New Roman" w:hAnsi="Times New Roman" w:cs="Times New Roman"/>
        </w:rPr>
        <w:t>β</w:t>
      </w:r>
      <w:r>
        <w:rPr>
          <w:rFonts w:eastAsia="Times New Roman" w:cs="Times New Roman"/>
        </w:rPr>
        <w:t xml:space="preserve">) as well as </w:t>
      </w:r>
      <w:r>
        <w:rPr>
          <w:rStyle w:val="Emphasis"/>
          <w:rFonts w:eastAsia="Times New Roman" w:cs="Times New Roman"/>
        </w:rPr>
        <w:t>beta-fibrinogen</w:t>
      </w:r>
      <w:r>
        <w:rPr>
          <w:rFonts w:eastAsia="Times New Roman" w:cs="Times New Roman"/>
        </w:rPr>
        <w:t xml:space="preserve"> (</w:t>
      </w:r>
      <w:r>
        <w:rPr>
          <w:rStyle w:val="Emphasis"/>
          <w:rFonts w:eastAsia="Times New Roman" w:cs="Times New Roman"/>
        </w:rPr>
        <w:t>Fgb</w:t>
      </w:r>
      <w:r>
        <w:rPr>
          <w:rFonts w:eastAsia="Times New Roman" w:cs="Times New Roman"/>
        </w:rPr>
        <w:t xml:space="preserve">) and </w:t>
      </w:r>
      <w:r>
        <w:rPr>
          <w:rStyle w:val="Emphasis"/>
          <w:rFonts w:eastAsia="Times New Roman" w:cs="Times New Roman"/>
        </w:rPr>
        <w:t>metallothionein-1</w:t>
      </w:r>
      <w:r>
        <w:rPr>
          <w:rFonts w:eastAsia="Times New Roman" w:cs="Times New Roman"/>
        </w:rPr>
        <w:t xml:space="preserve"> (</w:t>
      </w:r>
      <w:r>
        <w:rPr>
          <w:rStyle w:val="Emphasis"/>
          <w:rFonts w:eastAsia="Times New Roman" w:cs="Times New Roman"/>
        </w:rPr>
        <w:t>Mt-1)</w:t>
      </w:r>
      <w:r>
        <w:rPr>
          <w:rFonts w:eastAsia="Times New Roman" w:cs="Times New Roman"/>
        </w:rPr>
        <w:t xml:space="preserve"> mRNA expression were measured at four time points (0, 2, 4 and 7 hours) after injection of </w:t>
      </w:r>
      <w:r>
        <w:rPr>
          <w:rStyle w:val="Emphasis"/>
          <w:rFonts w:eastAsia="Times New Roman" w:cs="Times New Roman"/>
        </w:rPr>
        <w:t>E</w:t>
      </w:r>
      <w:r>
        <w:rPr>
          <w:rFonts w:eastAsia="Times New Roman" w:cs="Times New Roman"/>
        </w:rPr>
        <w:t xml:space="preserve">. </w:t>
      </w:r>
      <w:r>
        <w:rPr>
          <w:rStyle w:val="Emphasis"/>
          <w:rFonts w:eastAsia="Times New Roman" w:cs="Times New Roman"/>
        </w:rPr>
        <w:t>coli</w:t>
      </w:r>
      <w:r>
        <w:rPr>
          <w:rFonts w:eastAsia="Times New Roman" w:cs="Times New Roman"/>
        </w:rPr>
        <w:t xml:space="preserve"> LPS </w:t>
      </w:r>
      <w:r w:rsidR="003E6114">
        <w:rPr>
          <w:rFonts w:eastAsia="Times New Roman" w:cs="Times New Roman"/>
        </w:rPr>
        <w:t>(</w:t>
      </w:r>
      <w:r w:rsidR="001B3ACC">
        <w:rPr>
          <w:rFonts w:eastAsia="Times New Roman" w:cs="Times New Roman"/>
        </w:rPr>
        <w:t>5 mg/kg but not mention of sera type)</w:t>
      </w:r>
      <w:r w:rsidR="003E6114">
        <w:rPr>
          <w:rFonts w:eastAsia="Times New Roman" w:cs="Times New Roman"/>
        </w:rPr>
        <w:t xml:space="preserve"> </w:t>
      </w:r>
      <w:r>
        <w:rPr>
          <w:rFonts w:eastAsia="Times New Roman" w:cs="Times New Roman"/>
        </w:rPr>
        <w:t>in mice from three inbred strains.</w:t>
      </w:r>
      <w:r w:rsidRPr="008B0042">
        <w:rPr>
          <w:rStyle w:val="slug-pages"/>
          <w:rFonts w:eastAsia="Times New Roman" w:cs="Times New Roman"/>
          <w:iCs/>
        </w:rPr>
        <w:t xml:space="preserve"> </w:t>
      </w:r>
      <w:r>
        <w:rPr>
          <w:rStyle w:val="slug-pages"/>
          <w:rFonts w:eastAsia="Times New Roman" w:cs="Times New Roman"/>
          <w:iCs/>
        </w:rPr>
        <w:t xml:space="preserve">(CD1, BALBc and C57BL/6). </w:t>
      </w:r>
      <w:r>
        <w:rPr>
          <w:rFonts w:eastAsia="Times New Roman" w:cs="Times New Roman"/>
        </w:rPr>
        <w:t xml:space="preserve">Statistical analysis using analyses of variance (ANOVAs) showed that the levels of the all six traits changed over time, generally peaking at 2 hours after LPS injection. </w:t>
      </w:r>
      <w:r>
        <w:rPr>
          <w:rStyle w:val="Emphasis"/>
          <w:rFonts w:eastAsia="Times New Roman" w:cs="Times New Roman"/>
        </w:rPr>
        <w:t>Mt-1</w:t>
      </w:r>
      <w:r>
        <w:rPr>
          <w:rFonts w:eastAsia="Times New Roman" w:cs="Times New Roman"/>
        </w:rPr>
        <w:t xml:space="preserve">, </w:t>
      </w:r>
      <w:r>
        <w:rPr>
          <w:rStyle w:val="Emphasis"/>
          <w:rFonts w:eastAsia="Times New Roman" w:cs="Times New Roman"/>
        </w:rPr>
        <w:t>Fgb</w:t>
      </w:r>
      <w:r w:rsidR="003E6114">
        <w:rPr>
          <w:rStyle w:val="Emphasis"/>
          <w:rFonts w:eastAsia="Times New Roman" w:cs="Times New Roman"/>
        </w:rPr>
        <w:t xml:space="preserve"> </w:t>
      </w:r>
      <w:r w:rsidR="00D85FAF">
        <w:rPr>
          <w:rStyle w:val="Emphasis"/>
          <w:rFonts w:eastAsia="Times New Roman" w:cs="Times New Roman"/>
          <w:i w:val="0"/>
        </w:rPr>
        <w:t>(stress gene markers</w:t>
      </w:r>
      <w:r w:rsidR="003E6114">
        <w:rPr>
          <w:rStyle w:val="Emphasis"/>
          <w:rFonts w:eastAsia="Times New Roman" w:cs="Times New Roman"/>
          <w:i w:val="0"/>
        </w:rPr>
        <w:t>)</w:t>
      </w:r>
      <w:r>
        <w:rPr>
          <w:rFonts w:eastAsia="Times New Roman" w:cs="Times New Roman"/>
        </w:rPr>
        <w:t xml:space="preserve">, and IL-6 showed differences among strains, although these were time-specific. Sexual dimorphism was seen for </w:t>
      </w:r>
      <w:r>
        <w:rPr>
          <w:rStyle w:val="Emphasis"/>
          <w:rFonts w:eastAsia="Times New Roman" w:cs="Times New Roman"/>
        </w:rPr>
        <w:t>Fgb</w:t>
      </w:r>
      <w:r>
        <w:rPr>
          <w:rFonts w:eastAsia="Times New Roman" w:cs="Times New Roman"/>
        </w:rPr>
        <w:t xml:space="preserve"> and IL6, and was most pronounced at the latest time period (7 hours) where male levels exceeded those for females. </w:t>
      </w:r>
      <w:r w:rsidR="001B3ACC">
        <w:rPr>
          <w:rFonts w:eastAsia="Times New Roman" w:cs="Times New Roman"/>
        </w:rPr>
        <w:t xml:space="preserve">Trends for all 6 cytokines/gene expression traits were negatively correlated with those for body temperature. </w:t>
      </w:r>
      <w:r>
        <w:rPr>
          <w:rFonts w:eastAsia="Times New Roman" w:cs="Times New Roman"/>
        </w:rPr>
        <w:t>The higher levels of expression of Fgb and IL6 in males compared with females are consistent with the greater vulnerability of males to infection and subsequent inflammation.</w:t>
      </w:r>
      <w:r w:rsidR="009E4740">
        <w:rPr>
          <w:rFonts w:eastAsia="Times New Roman" w:cs="Times New Roman"/>
        </w:rPr>
        <w:t xml:space="preserve"> TNF-alpha was highly expressed at 2 hours following LPS in all mice regardless of sex or strain</w:t>
      </w:r>
      <w:r w:rsidR="00563EEA">
        <w:rPr>
          <w:rFonts w:eastAsia="Times New Roman" w:cs="Times New Roman"/>
        </w:rPr>
        <w:t xml:space="preserve"> (we have contradictory data to this)</w:t>
      </w:r>
      <w:r w:rsidR="009E4740">
        <w:rPr>
          <w:rFonts w:eastAsia="Times New Roman" w:cs="Times New Roman"/>
        </w:rPr>
        <w:t>.</w:t>
      </w:r>
    </w:p>
    <w:p w:rsidR="008C556D" w:rsidRDefault="008C556D">
      <w:pPr>
        <w:rPr>
          <w:rFonts w:eastAsia="Times New Roman" w:cs="Times New Roman"/>
        </w:rPr>
      </w:pPr>
    </w:p>
    <w:p w:rsidR="00D85FAF" w:rsidRDefault="00D85FAF">
      <w:pPr>
        <w:rPr>
          <w:rFonts w:eastAsia="Times New Roman" w:cs="Times New Roman"/>
        </w:rPr>
      </w:pPr>
      <w:r>
        <w:rPr>
          <w:rFonts w:eastAsia="Times New Roman" w:cs="Times New Roman"/>
        </w:rPr>
        <w:t xml:space="preserve">Marriot I </w:t>
      </w:r>
      <w:r w:rsidRPr="00563EEA">
        <w:rPr>
          <w:rFonts w:eastAsia="Times New Roman" w:cs="Times New Roman"/>
          <w:i/>
        </w:rPr>
        <w:t>et al.</w:t>
      </w:r>
      <w:r>
        <w:rPr>
          <w:rFonts w:eastAsia="Times New Roman" w:cs="Times New Roman"/>
        </w:rPr>
        <w:t xml:space="preserve"> J of Reproductive Immunology 2006;71:12-27 Gender-based differences in the incidence and severity of bacterial sepsis render males more susceptible to septic shock than females. However, the mechanisms that underlie this sexual dimorphism remain unclear. In the present study we confirm that males produce significantly higher levels of the inflammatory cytokine IL-6 and the acute phase protein LPS-binding protein (LBP) than females following in vivo lipopolysaccharide (LPS) exposure. It has also been verified that LPS-challenged male-derived macrophages produce higher levels of IL-1</w:t>
      </w:r>
      <w:r>
        <w:rPr>
          <w:rFonts w:ascii="Times New Roman" w:eastAsia="Times New Roman" w:hAnsi="Times New Roman" w:cs="Times New Roman"/>
        </w:rPr>
        <w:t>β</w:t>
      </w:r>
      <w:r>
        <w:rPr>
          <w:rFonts w:eastAsia="Times New Roman" w:cs="Times New Roman"/>
        </w:rPr>
        <w:t xml:space="preserve"> and lower levels of PGE</w:t>
      </w:r>
      <w:r>
        <w:rPr>
          <w:rFonts w:eastAsia="Times New Roman" w:cs="Times New Roman"/>
          <w:vertAlign w:val="subscript"/>
        </w:rPr>
        <w:t>2</w:t>
      </w:r>
      <w:r>
        <w:rPr>
          <w:rFonts w:eastAsia="Times New Roman" w:cs="Times New Roman"/>
        </w:rPr>
        <w:t xml:space="preserve"> than similarly treated female-derived cells. Importantly, we demonstrated that male-derived macrophages produce significantly higher levels of the inflammatory chemokine IP-10 following LPS challenge than their female counterparts. It has been demonstrated further that, although resting macrophage levels of mRNA encoding Toll-like receptor 4 (TLR4) and its co-receptor CD14, are not significantly different between genders, male-derived macrophages constitutively express higher levels of these proteins on their cell surface. Elevated circulating levels of LBP and constitutively higher cell surface expression of TLR4 and CD14 on macrophages in males could result in the observed sexual dimorphism in LPS-induced inflammatory mediator production and the greater susceptibility of males to bacterial sepsis.</w:t>
      </w:r>
    </w:p>
    <w:p w:rsidR="00AF4986" w:rsidRDefault="00AF4986">
      <w:pPr>
        <w:rPr>
          <w:rFonts w:eastAsia="Times New Roman" w:cs="Times New Roman"/>
        </w:rPr>
      </w:pPr>
    </w:p>
    <w:p w:rsidR="00AF4986" w:rsidRDefault="00AF4986" w:rsidP="00A75B38">
      <w:pPr>
        <w:pStyle w:val="RxCHeading2"/>
      </w:pPr>
      <w:r>
        <w:t>Age</w:t>
      </w:r>
    </w:p>
    <w:p w:rsidR="000A25B0" w:rsidRDefault="000A25B0">
      <w:pPr>
        <w:rPr>
          <w:rFonts w:eastAsia="Times New Roman" w:cs="Times New Roman"/>
        </w:rPr>
      </w:pPr>
      <w:r>
        <w:rPr>
          <w:rFonts w:eastAsia="Times New Roman" w:cs="Times New Roman"/>
        </w:rPr>
        <w:t xml:space="preserve">Saito H </w:t>
      </w:r>
      <w:r w:rsidRPr="00563EEA">
        <w:rPr>
          <w:rFonts w:eastAsia="Times New Roman" w:cs="Times New Roman"/>
          <w:i/>
        </w:rPr>
        <w:t>et al</w:t>
      </w:r>
      <w:r>
        <w:rPr>
          <w:rFonts w:eastAsia="Times New Roman" w:cs="Times New Roman"/>
        </w:rPr>
        <w:t xml:space="preserve"> Mech Ageing Dev. 2003;1241047-58. Their results clearly demonstrated an age-associated increase in mortality, hypothermia, and induction of IL-6 during endotoxemia and sepsis.</w:t>
      </w:r>
    </w:p>
    <w:p w:rsidR="00563EEA" w:rsidRDefault="00563EEA">
      <w:pPr>
        <w:rPr>
          <w:rFonts w:eastAsia="Times New Roman" w:cs="Times New Roman"/>
        </w:rPr>
      </w:pPr>
    </w:p>
    <w:p w:rsidR="000A25B0" w:rsidRDefault="000A25B0">
      <w:pPr>
        <w:rPr>
          <w:rFonts w:eastAsia="Times New Roman" w:cs="Times New Roman"/>
        </w:rPr>
      </w:pPr>
      <w:r>
        <w:rPr>
          <w:rFonts w:eastAsia="Times New Roman" w:cs="Times New Roman"/>
        </w:rPr>
        <w:t xml:space="preserve">Chorinchath BB </w:t>
      </w:r>
      <w:r w:rsidR="00563EEA" w:rsidRPr="00563EEA">
        <w:rPr>
          <w:rFonts w:eastAsia="Times New Roman" w:cs="Times New Roman"/>
          <w:i/>
        </w:rPr>
        <w:t xml:space="preserve">et al </w:t>
      </w:r>
      <w:r>
        <w:rPr>
          <w:rFonts w:eastAsia="Times New Roman" w:cs="Times New Roman"/>
        </w:rPr>
        <w:t>J immunol 1996:156;1525-1530</w:t>
      </w:r>
      <w:r w:rsidR="00563EEA">
        <w:rPr>
          <w:rFonts w:eastAsia="Times New Roman" w:cs="Times New Roman"/>
        </w:rPr>
        <w:t xml:space="preserve"> </w:t>
      </w:r>
      <w:r>
        <w:rPr>
          <w:rFonts w:eastAsia="Times New Roman" w:cs="Times New Roman"/>
        </w:rPr>
        <w:t>Three ages of male B6JC3J/Nia mice, young (2 mo old), mature (12 mo old), and senescent (24 mo old), were treated with bacterial LPS, and the older mice were found to be 10 times more sensitive to LPS lethality. Increased sensitivity to LPS in senescent mice correlated with significantly elevated plasma TNF-alpha and nitric oxide levels.</w:t>
      </w:r>
    </w:p>
    <w:p w:rsidR="00563EEA" w:rsidRDefault="00563EEA">
      <w:pPr>
        <w:rPr>
          <w:rFonts w:eastAsia="Times New Roman" w:cs="Times New Roman"/>
        </w:rPr>
      </w:pPr>
    </w:p>
    <w:p w:rsidR="009D4E41" w:rsidRDefault="009D4E41">
      <w:pPr>
        <w:rPr>
          <w:rFonts w:eastAsia="Times New Roman" w:cs="Times New Roman"/>
        </w:rPr>
      </w:pPr>
      <w:r>
        <w:rPr>
          <w:rFonts w:eastAsia="Times New Roman" w:cs="Times New Roman"/>
        </w:rPr>
        <w:t>Another study induced endotoxemia by LPS and compared mortality, degree of hypothermia and thrombosis in three animal groups; young mice with a low dose of LPS (2.5 mg/kg resulting in no mortality in 1 week), young mice with a higher dose of LPS (20 mg/kg resulting in 78% mortality in 1 week), and aged mice with the same low dose of LPS (2.5 mg/kg resulting in 80% mortality in 1 week). The aged mice (given low LPS dose) and young mice given high LPS dose showed almost identical mortality rates and degrees of hypothermia, which were both significantly higher than in young mice with low LPS dose, suggesting that profound hypothermia under systemic inflammation is dependent on the severity of disease, rather than age</w:t>
      </w:r>
      <w:r w:rsidR="00AF4986">
        <w:rPr>
          <w:rFonts w:eastAsia="Times New Roman" w:cs="Times New Roman"/>
        </w:rPr>
        <w:t>.</w:t>
      </w:r>
    </w:p>
    <w:p w:rsidR="00AF4986" w:rsidRDefault="00AF4986" w:rsidP="00AF4986"/>
    <w:p w:rsidR="00CB7966" w:rsidRDefault="00CB7966" w:rsidP="00AF4986"/>
    <w:p w:rsidR="00AF4986" w:rsidRDefault="00AF4986" w:rsidP="00A75B38">
      <w:pPr>
        <w:pStyle w:val="RxCHeading2"/>
      </w:pPr>
      <w:r>
        <w:t>LPS serotypes</w:t>
      </w:r>
    </w:p>
    <w:p w:rsidR="00AF4986" w:rsidRDefault="006358FE" w:rsidP="00AF4986">
      <w:r>
        <w:t xml:space="preserve">Sigma </w:t>
      </w:r>
      <w:r w:rsidR="00AF4986">
        <w:t>sell different serotypes of E.coli</w:t>
      </w:r>
      <w:r>
        <w:t xml:space="preserve">. </w:t>
      </w:r>
      <w:r w:rsidR="00AF4986">
        <w:t xml:space="preserve"> Below is information shown </w:t>
      </w:r>
      <w:r>
        <w:t xml:space="preserve">currently </w:t>
      </w:r>
      <w:r w:rsidR="00AF4986">
        <w:t>on the</w:t>
      </w:r>
      <w:r>
        <w:t>ir</w:t>
      </w:r>
      <w:r w:rsidR="00AF4986">
        <w:t xml:space="preserve"> </w:t>
      </w:r>
      <w:r>
        <w:t>w</w:t>
      </w:r>
      <w:r w:rsidR="00AF4986">
        <w:t>ebsite</w:t>
      </w:r>
      <w:r>
        <w:t>:</w:t>
      </w:r>
    </w:p>
    <w:p w:rsidR="00AF4986" w:rsidRDefault="00AF4986" w:rsidP="00AF4986">
      <w:r>
        <w:t>055:B5 (</w:t>
      </w:r>
      <w:r>
        <w:rPr>
          <w:rFonts w:eastAsia="Times New Roman" w:cs="Times New Roman"/>
        </w:rPr>
        <w:t>the source strain is CDC 1644-70) shown to stimulate human peritoneal macrophages at 1ng/ml</w:t>
      </w:r>
    </w:p>
    <w:p w:rsidR="00AF4986" w:rsidRDefault="00AF4986" w:rsidP="00AF4986">
      <w:r>
        <w:t xml:space="preserve">011:B4 (the source strain is from a private collection has been used to stimulate B-cells and induce NOS in human hepatocytes. </w:t>
      </w:r>
    </w:p>
    <w:p w:rsidR="00AF4986" w:rsidRPr="00F740B3" w:rsidRDefault="00AF4986" w:rsidP="00AF4986">
      <w:pPr>
        <w:pStyle w:val="RxCBodyJustified13"/>
      </w:pPr>
      <w:r>
        <w:t xml:space="preserve">0127:B8 (the source strain is ATCC 12740. </w:t>
      </w:r>
      <w:r w:rsidRPr="00F740B3">
        <w:t xml:space="preserve">This LPS serotype has been used in the study of </w:t>
      </w:r>
    </w:p>
    <w:p w:rsidR="00AF4986" w:rsidRDefault="00AF4986" w:rsidP="00AF4986">
      <w:pPr>
        <w:pStyle w:val="RxCBodyJustified13"/>
      </w:pPr>
      <w:r w:rsidRPr="00F740B3">
        <w:t>septic shock</w:t>
      </w:r>
      <w:r>
        <w:rPr>
          <w:sz w:val="16"/>
          <w:szCs w:val="16"/>
        </w:rPr>
        <w:t xml:space="preserve"> </w:t>
      </w:r>
      <w:r w:rsidRPr="00F740B3">
        <w:t>and to induce NOS in murine macrophages</w:t>
      </w:r>
      <w:r>
        <w:rPr>
          <w:sz w:val="16"/>
          <w:szCs w:val="16"/>
        </w:rPr>
        <w:t xml:space="preserve"> </w:t>
      </w:r>
      <w:r w:rsidRPr="00F740B3">
        <w:t xml:space="preserve">and PAF synthesis in rat glomerular </w:t>
      </w:r>
      <w:r>
        <w:t>me</w:t>
      </w:r>
      <w:r w:rsidRPr="00F740B3">
        <w:t>sangial cells</w:t>
      </w:r>
    </w:p>
    <w:p w:rsidR="00AF4986" w:rsidRDefault="00AF4986" w:rsidP="00AF4986">
      <w:pPr>
        <w:pStyle w:val="RxCBodyJustified13"/>
      </w:pPr>
      <w:r>
        <w:t>0128:B12 (the source strain is CDC 2440-69)</w:t>
      </w:r>
    </w:p>
    <w:p w:rsidR="00AF4986" w:rsidRPr="006E7934" w:rsidRDefault="00AF4986" w:rsidP="00AF4986">
      <w:pPr>
        <w:pStyle w:val="RxCBodyJustified13"/>
      </w:pPr>
      <w:r>
        <w:t xml:space="preserve">026:B6 </w:t>
      </w:r>
      <w:r w:rsidRPr="006E7934">
        <w:t>LPS from serotype 026:B6 is the only LPS from E.coli</w:t>
      </w:r>
      <w:r>
        <w:t xml:space="preserve"> </w:t>
      </w:r>
      <w:r w:rsidRPr="006E7934">
        <w:t>which exhibits short chain-length behavio</w:t>
      </w:r>
      <w:r>
        <w:t>u</w:t>
      </w:r>
      <w:r w:rsidRPr="006E7934">
        <w:t xml:space="preserve">r on SDS-PAGE. The short chain-length of this LPS is closer to that of the mutant rough strain LPS. This LPS serotype has been used at 1 </w:t>
      </w:r>
      <w:r w:rsidRPr="006E7934">
        <w:rPr>
          <w:rFonts w:ascii="Times New Roman" w:hAnsi="Times New Roman" w:cs="Times New Roman"/>
        </w:rPr>
        <w:t>μ</w:t>
      </w:r>
      <w:r w:rsidRPr="006E7934">
        <w:t>g/ml to stimulate neutrophils.</w:t>
      </w:r>
    </w:p>
    <w:p w:rsidR="00AF4986" w:rsidRDefault="00AF4986" w:rsidP="00AF4986">
      <w:pPr>
        <w:pStyle w:val="RxCBodyJustified13"/>
      </w:pPr>
    </w:p>
    <w:p w:rsidR="00AF4986" w:rsidRPr="00032686" w:rsidRDefault="00AF4986" w:rsidP="00AF4986">
      <w:pPr>
        <w:pStyle w:val="RxCBodyJustified13"/>
      </w:pPr>
      <w:r w:rsidRPr="00032686">
        <w:t>Sigma's lipopolysaccharides contain endotoxin levels of not less than 500,000 EU (endotoxin u</w:t>
      </w:r>
      <w:r>
        <w:t>nits)/mg unless otherwise noted but the exact amount can only be found by searching for it on the certificate of analysis and amounts can</w:t>
      </w:r>
      <w:r w:rsidR="006358FE">
        <w:t xml:space="preserve"> and </w:t>
      </w:r>
      <w:r w:rsidR="006358FE" w:rsidRPr="006358FE">
        <w:rPr>
          <w:b/>
          <w:i/>
        </w:rPr>
        <w:t>will</w:t>
      </w:r>
      <w:r>
        <w:t xml:space="preserve"> vary from batch to batch. Most users quote giving doses in mg/kg rather than absolute units of end</w:t>
      </w:r>
      <w:r w:rsidR="006358FE">
        <w:t>otoxin – this is wrong!</w:t>
      </w:r>
    </w:p>
    <w:p w:rsidR="00AF4986" w:rsidRDefault="00AF4986" w:rsidP="00AF4986">
      <w:pPr>
        <w:pStyle w:val="RxCBodyJustified13"/>
      </w:pPr>
    </w:p>
    <w:p w:rsidR="00AF4986" w:rsidRPr="006E7934" w:rsidRDefault="00AF4986" w:rsidP="00AF4986">
      <w:pPr>
        <w:pStyle w:val="RxCBodyJustified13"/>
      </w:pPr>
      <w:r w:rsidRPr="006E7934">
        <w:t>LPS can be prepared by TCA,</w:t>
      </w:r>
      <w:r>
        <w:t xml:space="preserve"> </w:t>
      </w:r>
      <w:r w:rsidRPr="006E7934">
        <w:t>phenol,</w:t>
      </w:r>
      <w:r>
        <w:t xml:space="preserve"> </w:t>
      </w:r>
      <w:r w:rsidRPr="006E7934">
        <w:t>or phenol-chloroform-petroleum ether (for rough strains)</w:t>
      </w:r>
      <w:r>
        <w:t xml:space="preserve"> </w:t>
      </w:r>
      <w:r w:rsidRPr="006E7934">
        <w:t xml:space="preserve">extraction. The TCA extracted lipopolysaccharides are structurally similar to the phenol extracted ones. Their electrophoretic pattern and endotoxicity are similar. The main differences are in the amounts of nucleic acid and protein contaminations. The TCA extract contains approximately 2% RNA and approximately 10% denatured proteins. The phenol extract contains up to 60% RNA and less than 1% protein. Purification by gel filtration chromatography removes much of protein present in the phenol-extracted LPS, but </w:t>
      </w:r>
      <w:r>
        <w:t xml:space="preserve">leaves a </w:t>
      </w:r>
      <w:r w:rsidRPr="006E7934">
        <w:t xml:space="preserve">product that still contains 10-20% nucleic acids. Further purification using ion exchange chromatography, will yield an LPS product which contains &lt;1% protein and &lt;1% RNA. </w:t>
      </w:r>
    </w:p>
    <w:p w:rsidR="00AF4986" w:rsidRDefault="00AF4986" w:rsidP="00AF4986">
      <w:pPr>
        <w:rPr>
          <w:rFonts w:eastAsia="Times New Roman" w:cs="Times New Roman"/>
        </w:rPr>
      </w:pPr>
    </w:p>
    <w:p w:rsidR="00AF4986" w:rsidRDefault="00AF4986">
      <w:pPr>
        <w:rPr>
          <w:rFonts w:eastAsia="Times New Roman" w:cs="Times New Roman"/>
        </w:rPr>
      </w:pPr>
    </w:p>
    <w:p w:rsidR="0091080F" w:rsidRPr="00DF43FB" w:rsidRDefault="0091080F">
      <w:pPr>
        <w:rPr>
          <w:rFonts w:eastAsia="Times New Roman" w:cs="Times New Roman"/>
          <w:sz w:val="18"/>
          <w:szCs w:val="18"/>
        </w:rPr>
      </w:pPr>
      <w:r w:rsidRPr="00DF43FB">
        <w:rPr>
          <w:rFonts w:eastAsia="Times New Roman" w:cs="Times New Roman"/>
          <w:sz w:val="18"/>
          <w:szCs w:val="18"/>
        </w:rPr>
        <w:t>Dr. Jill Reckless,</w:t>
      </w:r>
    </w:p>
    <w:p w:rsidR="0091080F" w:rsidRPr="00DF43FB" w:rsidRDefault="0091080F">
      <w:pPr>
        <w:rPr>
          <w:rFonts w:eastAsia="Times New Roman" w:cs="Times New Roman"/>
          <w:sz w:val="18"/>
          <w:szCs w:val="18"/>
        </w:rPr>
      </w:pPr>
      <w:r w:rsidRPr="00DF43FB">
        <w:rPr>
          <w:rFonts w:eastAsia="Times New Roman" w:cs="Times New Roman"/>
          <w:sz w:val="18"/>
          <w:szCs w:val="18"/>
        </w:rPr>
        <w:t>RxCelerate Limited.</w:t>
      </w:r>
    </w:p>
    <w:p w:rsidR="00DF43FB" w:rsidRPr="00DF43FB" w:rsidRDefault="00DF43FB">
      <w:pPr>
        <w:rPr>
          <w:rFonts w:eastAsia="Times New Roman" w:cs="Times New Roman"/>
          <w:sz w:val="18"/>
          <w:szCs w:val="18"/>
        </w:rPr>
      </w:pPr>
      <w:r w:rsidRPr="00DF43FB">
        <w:rPr>
          <w:rFonts w:eastAsia="Times New Roman" w:cs="Times New Roman"/>
          <w:sz w:val="18"/>
          <w:szCs w:val="18"/>
        </w:rPr>
        <w:t>June 2016.</w:t>
      </w:r>
    </w:p>
    <w:p w:rsidR="0091080F" w:rsidRPr="0044536B" w:rsidRDefault="0091080F">
      <w:pPr>
        <w:rPr>
          <w:rFonts w:eastAsia="Times New Roman" w:cs="Times New Roman"/>
          <w:sz w:val="20"/>
          <w:szCs w:val="20"/>
        </w:rPr>
      </w:pPr>
      <w:r w:rsidRPr="0044536B">
        <w:rPr>
          <w:rFonts w:eastAsia="Times New Roman" w:cs="Times New Roman"/>
          <w:sz w:val="20"/>
          <w:szCs w:val="20"/>
        </w:rPr>
        <w:t xml:space="preserve">Email: </w:t>
      </w:r>
      <w:hyperlink r:id="rId5" w:history="1">
        <w:r w:rsidRPr="0044536B">
          <w:rPr>
            <w:rStyle w:val="Hyperlink"/>
            <w:rFonts w:eastAsia="Times New Roman" w:cs="Times New Roman"/>
            <w:sz w:val="20"/>
            <w:szCs w:val="20"/>
          </w:rPr>
          <w:t>jill@rxcelerate.com</w:t>
        </w:r>
      </w:hyperlink>
    </w:p>
    <w:p w:rsidR="0091080F" w:rsidRPr="00CA3582" w:rsidRDefault="0091080F">
      <w:pPr>
        <w:rPr>
          <w:rFonts w:eastAsia="Times New Roman" w:cs="Times New Roman"/>
        </w:rPr>
      </w:pPr>
    </w:p>
    <w:sectPr w:rsidR="0091080F" w:rsidRPr="00CA3582" w:rsidSect="006A223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charset w:val="4E"/>
    <w:family w:val="auto"/>
    <w:pitch w:val="variable"/>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Gill Sans">
    <w:charset w:val="00"/>
    <w:family w:val="auto"/>
    <w:pitch w:val="variable"/>
    <w:sig w:usb0="80000267" w:usb1="00000000" w:usb2="00000000" w:usb3="00000000" w:csb0="000001F7" w:csb1="00000000"/>
  </w:font>
  <w:font w:name="Lucida Grande">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491FE3"/>
    <w:multiLevelType w:val="hybridMultilevel"/>
    <w:tmpl w:val="7EE0D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104133"/>
    <w:multiLevelType w:val="hybridMultilevel"/>
    <w:tmpl w:val="07021EC8"/>
    <w:lvl w:ilvl="0" w:tplc="53DA5798">
      <w:start w:val="1"/>
      <w:numFmt w:val="bullet"/>
      <w:pStyle w:val="RxC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350BC"/>
    <w:multiLevelType w:val="hybridMultilevel"/>
    <w:tmpl w:val="E67A6EF6"/>
    <w:lvl w:ilvl="0" w:tplc="902460EC">
      <w:start w:val="1"/>
      <w:numFmt w:val="decimal"/>
      <w:pStyle w:val="RxCBody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EE"/>
    <w:rsid w:val="00024355"/>
    <w:rsid w:val="00032686"/>
    <w:rsid w:val="000920FE"/>
    <w:rsid w:val="000A1C8D"/>
    <w:rsid w:val="000A25B0"/>
    <w:rsid w:val="000A5BB8"/>
    <w:rsid w:val="000E0403"/>
    <w:rsid w:val="001B3ACC"/>
    <w:rsid w:val="00224517"/>
    <w:rsid w:val="002268EE"/>
    <w:rsid w:val="00246A4F"/>
    <w:rsid w:val="00247FEE"/>
    <w:rsid w:val="00263B7D"/>
    <w:rsid w:val="002B1CD2"/>
    <w:rsid w:val="002B3193"/>
    <w:rsid w:val="003E120C"/>
    <w:rsid w:val="003E6114"/>
    <w:rsid w:val="003E75DC"/>
    <w:rsid w:val="003F0AB9"/>
    <w:rsid w:val="00411429"/>
    <w:rsid w:val="00436315"/>
    <w:rsid w:val="0044536B"/>
    <w:rsid w:val="00502B48"/>
    <w:rsid w:val="00505208"/>
    <w:rsid w:val="0053172B"/>
    <w:rsid w:val="00563EEA"/>
    <w:rsid w:val="005A2DFE"/>
    <w:rsid w:val="006358FE"/>
    <w:rsid w:val="006A223B"/>
    <w:rsid w:val="006B01E2"/>
    <w:rsid w:val="006E42CE"/>
    <w:rsid w:val="006E7934"/>
    <w:rsid w:val="00746A0A"/>
    <w:rsid w:val="008950F6"/>
    <w:rsid w:val="008958E2"/>
    <w:rsid w:val="008A6D49"/>
    <w:rsid w:val="008B0042"/>
    <w:rsid w:val="008C556D"/>
    <w:rsid w:val="0091080F"/>
    <w:rsid w:val="00923CC9"/>
    <w:rsid w:val="00957676"/>
    <w:rsid w:val="009D4E41"/>
    <w:rsid w:val="009E4740"/>
    <w:rsid w:val="00A21B5B"/>
    <w:rsid w:val="00A56904"/>
    <w:rsid w:val="00A75B38"/>
    <w:rsid w:val="00A92AB3"/>
    <w:rsid w:val="00A97D95"/>
    <w:rsid w:val="00AF4986"/>
    <w:rsid w:val="00B66298"/>
    <w:rsid w:val="00B766A1"/>
    <w:rsid w:val="00BA1D76"/>
    <w:rsid w:val="00BE0E3D"/>
    <w:rsid w:val="00BF2B55"/>
    <w:rsid w:val="00C3170C"/>
    <w:rsid w:val="00CA3582"/>
    <w:rsid w:val="00CB7966"/>
    <w:rsid w:val="00D31B57"/>
    <w:rsid w:val="00D80CE7"/>
    <w:rsid w:val="00D85FAF"/>
    <w:rsid w:val="00DD3F02"/>
    <w:rsid w:val="00DF43FB"/>
    <w:rsid w:val="00ED7282"/>
    <w:rsid w:val="00EE6B74"/>
    <w:rsid w:val="00F740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57FAAE5-2648-4C67-86CA-DA45062B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E3D"/>
    <w:pPr>
      <w:spacing w:line="312" w:lineRule="auto"/>
      <w:jc w:val="both"/>
    </w:pPr>
    <w:rPr>
      <w:rFonts w:ascii="Gill Sans MT" w:hAnsi="Gill Sans MT"/>
      <w:color w:val="404040" w:themeColor="text1" w:themeTint="BF"/>
      <w:sz w:val="22"/>
      <w:szCs w:val="22"/>
      <w:lang w:val="en-GB"/>
    </w:rPr>
  </w:style>
  <w:style w:type="paragraph" w:styleId="Heading1">
    <w:name w:val="heading 1"/>
    <w:next w:val="Normal"/>
    <w:link w:val="Heading1Char"/>
    <w:uiPriority w:val="9"/>
    <w:qFormat/>
    <w:rsid w:val="00BE0E3D"/>
    <w:pPr>
      <w:keepNext/>
      <w:keepLines/>
      <w:spacing w:before="80" w:after="60"/>
      <w:ind w:right="-3680"/>
      <w:outlineLvl w:val="0"/>
    </w:pPr>
    <w:rPr>
      <w:rFonts w:asciiTheme="majorHAnsi" w:eastAsiaTheme="majorEastAsia" w:hAnsiTheme="majorHAnsi" w:cstheme="majorBidi"/>
      <w:bCs/>
      <w:sz w:val="20"/>
      <w:szCs w:val="40"/>
    </w:rPr>
  </w:style>
  <w:style w:type="paragraph" w:styleId="Heading2">
    <w:name w:val="heading 2"/>
    <w:next w:val="Normal"/>
    <w:link w:val="Heading2Char"/>
    <w:rsid w:val="00BE0E3D"/>
    <w:pPr>
      <w:keepNext/>
      <w:outlineLvl w:val="1"/>
    </w:pPr>
    <w:rPr>
      <w:rFonts w:asciiTheme="majorHAnsi" w:eastAsia="ヒラギノ角ゴ Pro W3" w:hAnsiTheme="majorHAnsi" w:cs="Times New Roman"/>
      <w:caps/>
      <w:sz w:val="20"/>
      <w:szCs w:val="28"/>
      <w:lang w:eastAsia="en-GB"/>
    </w:rPr>
  </w:style>
  <w:style w:type="paragraph" w:styleId="Heading3">
    <w:name w:val="heading 3"/>
    <w:basedOn w:val="Normal"/>
    <w:next w:val="Normal"/>
    <w:link w:val="Heading3Char"/>
    <w:uiPriority w:val="9"/>
    <w:unhideWhenUsed/>
    <w:rsid w:val="00BE0E3D"/>
    <w:pPr>
      <w:spacing w:line="276" w:lineRule="auto"/>
      <w:outlineLvl w:val="2"/>
    </w:pPr>
    <w:rPr>
      <w:rFonts w:asciiTheme="majorHAnsi" w:eastAsia="MS Gothic" w:hAnsiTheme="majorHAnsi" w:cs="Times New Roman"/>
      <w:bCs/>
      <w:color w:val="404040"/>
    </w:rPr>
  </w:style>
  <w:style w:type="paragraph" w:styleId="Heading4">
    <w:name w:val="heading 4"/>
    <w:basedOn w:val="Normal"/>
    <w:next w:val="Normal"/>
    <w:link w:val="Heading4Char"/>
    <w:uiPriority w:val="9"/>
    <w:semiHidden/>
    <w:unhideWhenUsed/>
    <w:rsid w:val="00BE0E3D"/>
    <w:pPr>
      <w:keepNext/>
      <w:keepLines/>
      <w:spacing w:before="20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E3D"/>
    <w:rPr>
      <w:rFonts w:asciiTheme="majorHAnsi" w:eastAsiaTheme="majorEastAsia" w:hAnsiTheme="majorHAnsi" w:cstheme="majorBidi"/>
      <w:bCs/>
      <w:sz w:val="20"/>
      <w:szCs w:val="40"/>
    </w:rPr>
  </w:style>
  <w:style w:type="character" w:customStyle="1" w:styleId="Heading2Char">
    <w:name w:val="Heading 2 Char"/>
    <w:basedOn w:val="DefaultParagraphFont"/>
    <w:link w:val="Heading2"/>
    <w:rsid w:val="00BE0E3D"/>
    <w:rPr>
      <w:rFonts w:asciiTheme="majorHAnsi" w:eastAsia="ヒラギノ角ゴ Pro W3" w:hAnsiTheme="majorHAnsi" w:cs="Times New Roman"/>
      <w:caps/>
      <w:sz w:val="20"/>
      <w:szCs w:val="28"/>
      <w:lang w:eastAsia="en-GB"/>
    </w:rPr>
  </w:style>
  <w:style w:type="character" w:customStyle="1" w:styleId="Heading3Char">
    <w:name w:val="Heading 3 Char"/>
    <w:basedOn w:val="DefaultParagraphFont"/>
    <w:link w:val="Heading3"/>
    <w:uiPriority w:val="9"/>
    <w:rsid w:val="00BE0E3D"/>
    <w:rPr>
      <w:rFonts w:asciiTheme="majorHAnsi" w:eastAsia="MS Gothic" w:hAnsiTheme="majorHAnsi" w:cs="Times New Roman"/>
      <w:bCs/>
      <w:color w:val="404040"/>
      <w:sz w:val="22"/>
      <w:szCs w:val="22"/>
      <w:lang w:val="en-GB"/>
    </w:rPr>
  </w:style>
  <w:style w:type="character" w:customStyle="1" w:styleId="Heading4Char">
    <w:name w:val="Heading 4 Char"/>
    <w:basedOn w:val="DefaultParagraphFont"/>
    <w:link w:val="Heading4"/>
    <w:uiPriority w:val="9"/>
    <w:semiHidden/>
    <w:rsid w:val="00BE0E3D"/>
    <w:rPr>
      <w:rFonts w:asciiTheme="majorHAnsi" w:eastAsiaTheme="majorEastAsia" w:hAnsiTheme="majorHAnsi" w:cstheme="majorBidi"/>
      <w:b/>
      <w:bCs/>
      <w:i/>
      <w:iCs/>
      <w:color w:val="4F81BD" w:themeColor="accent1"/>
      <w:sz w:val="22"/>
      <w:szCs w:val="22"/>
      <w:lang w:val="en-GB"/>
    </w:rPr>
  </w:style>
  <w:style w:type="paragraph" w:customStyle="1" w:styleId="RxCBodyBullets">
    <w:name w:val="RxC Body Bullets"/>
    <w:qFormat/>
    <w:rsid w:val="00C3170C"/>
    <w:pPr>
      <w:numPr>
        <w:numId w:val="3"/>
      </w:numPr>
      <w:spacing w:line="276" w:lineRule="auto"/>
      <w:jc w:val="both"/>
    </w:pPr>
    <w:rPr>
      <w:rFonts w:ascii="Gill Sans MT" w:hAnsi="Gill Sans MT" w:cs="Times"/>
      <w:color w:val="404040" w:themeColor="text1" w:themeTint="BF"/>
      <w:sz w:val="22"/>
      <w:szCs w:val="22"/>
      <w:lang w:val="en-GB"/>
    </w:rPr>
  </w:style>
  <w:style w:type="paragraph" w:customStyle="1" w:styleId="RxCBodyIndent">
    <w:name w:val="RxC Body Indent"/>
    <w:qFormat/>
    <w:rsid w:val="00BE0E3D"/>
    <w:pPr>
      <w:spacing w:line="276" w:lineRule="auto"/>
      <w:ind w:left="284"/>
      <w:jc w:val="both"/>
    </w:pPr>
    <w:rPr>
      <w:rFonts w:ascii="Gill Sans MT" w:hAnsi="Gill Sans MT" w:cs="Times"/>
      <w:color w:val="404040" w:themeColor="text1" w:themeTint="BF"/>
      <w:sz w:val="22"/>
      <w:szCs w:val="22"/>
    </w:rPr>
  </w:style>
  <w:style w:type="paragraph" w:customStyle="1" w:styleId="RxCBodyJustified115">
    <w:name w:val="RxC Body Justified 1.15"/>
    <w:qFormat/>
    <w:rsid w:val="00BE0E3D"/>
    <w:pPr>
      <w:spacing w:line="276" w:lineRule="auto"/>
    </w:pPr>
    <w:rPr>
      <w:rFonts w:ascii="Gill Sans MT" w:hAnsi="Gill Sans MT"/>
      <w:color w:val="404040"/>
      <w:sz w:val="22"/>
      <w:szCs w:val="22"/>
      <w:lang w:val="en-GB"/>
    </w:rPr>
  </w:style>
  <w:style w:type="paragraph" w:customStyle="1" w:styleId="RxCBodyJustified13">
    <w:name w:val="RxC Body Justified 1.3"/>
    <w:qFormat/>
    <w:rsid w:val="00BE0E3D"/>
    <w:pPr>
      <w:spacing w:line="312" w:lineRule="auto"/>
      <w:jc w:val="both"/>
    </w:pPr>
    <w:rPr>
      <w:rFonts w:ascii="Gill Sans MT" w:hAnsi="Gill Sans MT"/>
      <w:color w:val="404040"/>
      <w:sz w:val="22"/>
      <w:szCs w:val="22"/>
      <w:lang w:val="en-GB"/>
    </w:rPr>
  </w:style>
  <w:style w:type="paragraph" w:customStyle="1" w:styleId="RxCBodyNumber">
    <w:name w:val="RxC Body Number"/>
    <w:next w:val="RxCBodyJustified115"/>
    <w:qFormat/>
    <w:rsid w:val="00C3170C"/>
    <w:pPr>
      <w:numPr>
        <w:numId w:val="4"/>
      </w:numPr>
      <w:spacing w:line="276" w:lineRule="auto"/>
      <w:jc w:val="both"/>
    </w:pPr>
    <w:rPr>
      <w:rFonts w:ascii="Gill Sans MT" w:hAnsi="Gill Sans MT"/>
      <w:color w:val="404040"/>
      <w:sz w:val="22"/>
      <w:szCs w:val="22"/>
      <w:lang w:val="en-GB"/>
    </w:rPr>
  </w:style>
  <w:style w:type="paragraph" w:customStyle="1" w:styleId="RxCBodyTextL">
    <w:name w:val="RxC Body Text L"/>
    <w:qFormat/>
    <w:rsid w:val="00BE0E3D"/>
    <w:pPr>
      <w:spacing w:line="276" w:lineRule="auto"/>
    </w:pPr>
    <w:rPr>
      <w:rFonts w:ascii="Gill Sans MT" w:hAnsi="Gill Sans MT" w:cs="Times"/>
      <w:color w:val="404040" w:themeColor="text1" w:themeTint="BF"/>
      <w:sz w:val="22"/>
      <w:szCs w:val="22"/>
      <w:lang w:val="en-GB"/>
    </w:rPr>
  </w:style>
  <w:style w:type="paragraph" w:customStyle="1" w:styleId="RxCDate">
    <w:name w:val="RxC Date"/>
    <w:next w:val="Normal"/>
    <w:qFormat/>
    <w:rsid w:val="00BE0E3D"/>
    <w:pPr>
      <w:jc w:val="right"/>
    </w:pPr>
    <w:rPr>
      <w:rFonts w:ascii="Gill Sans MT" w:eastAsiaTheme="majorEastAsia" w:hAnsi="Gill Sans MT" w:cs="Times"/>
      <w:bCs/>
      <w:iCs/>
      <w:caps/>
      <w:color w:val="38ABED"/>
      <w:sz w:val="28"/>
      <w:szCs w:val="28"/>
      <w:lang w:val="en-GB" w:eastAsia="ja-JP"/>
    </w:rPr>
  </w:style>
  <w:style w:type="paragraph" w:customStyle="1" w:styleId="RxCEmphasisTextBlue">
    <w:name w:val="RxC Emphasis Text Blue"/>
    <w:qFormat/>
    <w:rsid w:val="00BE0E3D"/>
    <w:pPr>
      <w:spacing w:line="276" w:lineRule="auto"/>
    </w:pPr>
    <w:rPr>
      <w:rFonts w:ascii="Gill Sans MT" w:eastAsiaTheme="majorEastAsia" w:hAnsi="Gill Sans MT" w:cs="Times"/>
      <w:bCs/>
      <w:color w:val="38ABED"/>
      <w:sz w:val="32"/>
      <w:szCs w:val="32"/>
      <w:lang w:val="en-GB" w:eastAsia="ja-JP"/>
    </w:rPr>
  </w:style>
  <w:style w:type="paragraph" w:customStyle="1" w:styleId="RxCEmphasisTextPurple">
    <w:name w:val="RxC Emphasis Text Purple"/>
    <w:qFormat/>
    <w:rsid w:val="00BE0E3D"/>
    <w:pPr>
      <w:spacing w:line="276" w:lineRule="auto"/>
    </w:pPr>
    <w:rPr>
      <w:rFonts w:ascii="Gill Sans MT" w:eastAsia="MS Gothic" w:hAnsi="Gill Sans MT" w:cs="Times"/>
      <w:color w:val="400080"/>
      <w:sz w:val="36"/>
      <w:szCs w:val="36"/>
      <w:lang w:eastAsia="ja-JP"/>
    </w:rPr>
  </w:style>
  <w:style w:type="paragraph" w:customStyle="1" w:styleId="RxCFooterCompanyInfoPale">
    <w:name w:val="RxC Footer Company Info Pale"/>
    <w:qFormat/>
    <w:rsid w:val="00BE0E3D"/>
    <w:rPr>
      <w:rFonts w:ascii="Gill Sans MT" w:eastAsiaTheme="minorHAnsi" w:hAnsi="Gill Sans MT" w:cs="Times"/>
      <w:color w:val="B3E0F8"/>
      <w:sz w:val="16"/>
      <w:szCs w:val="16"/>
      <w:lang w:val="en-GB" w:eastAsia="ja-JP"/>
    </w:rPr>
  </w:style>
  <w:style w:type="paragraph" w:customStyle="1" w:styleId="RxCFooterRight">
    <w:name w:val="RxC Footer Right"/>
    <w:qFormat/>
    <w:rsid w:val="00BE0E3D"/>
    <w:pPr>
      <w:jc w:val="right"/>
    </w:pPr>
    <w:rPr>
      <w:rFonts w:ascii="Gill Sans MT" w:eastAsiaTheme="majorEastAsia" w:hAnsi="Gill Sans MT" w:cs="Times"/>
      <w:bCs/>
      <w:color w:val="38ABED"/>
      <w:sz w:val="20"/>
      <w:szCs w:val="88"/>
      <w:lang w:val="en-GB" w:eastAsia="ja-JP"/>
    </w:rPr>
  </w:style>
  <w:style w:type="paragraph" w:customStyle="1" w:styleId="RxCHeader-FooterLeft">
    <w:name w:val="RxC Header-Footer Left"/>
    <w:qFormat/>
    <w:rsid w:val="00BE0E3D"/>
    <w:rPr>
      <w:rFonts w:ascii="Gill Sans MT" w:eastAsiaTheme="minorHAnsi" w:hAnsi="Gill Sans MT" w:cs="Times"/>
      <w:color w:val="38ABED"/>
      <w:sz w:val="20"/>
      <w:szCs w:val="22"/>
      <w:lang w:val="en-GB" w:eastAsia="ja-JP"/>
    </w:rPr>
  </w:style>
  <w:style w:type="paragraph" w:customStyle="1" w:styleId="RxCHeading1">
    <w:name w:val="RxC Heading 1"/>
    <w:next w:val="RxCBodyJustified13"/>
    <w:qFormat/>
    <w:rsid w:val="00BE0E3D"/>
    <w:pPr>
      <w:keepNext/>
      <w:spacing w:line="360" w:lineRule="auto"/>
      <w:outlineLvl w:val="0"/>
    </w:pPr>
    <w:rPr>
      <w:rFonts w:ascii="Gill Sans MT" w:eastAsiaTheme="majorEastAsia" w:hAnsi="Gill Sans MT" w:cs="Times"/>
      <w:bCs/>
      <w:color w:val="003560"/>
      <w:sz w:val="44"/>
      <w:szCs w:val="88"/>
      <w:lang w:val="en-GB" w:eastAsia="ja-JP"/>
    </w:rPr>
  </w:style>
  <w:style w:type="paragraph" w:customStyle="1" w:styleId="RxCHeading2">
    <w:name w:val="RxC Heading 2"/>
    <w:next w:val="RxCBodyJustified13"/>
    <w:qFormat/>
    <w:rsid w:val="00BE0E3D"/>
    <w:pPr>
      <w:keepNext/>
      <w:suppressAutoHyphens/>
      <w:spacing w:line="360" w:lineRule="auto"/>
      <w:outlineLvl w:val="1"/>
    </w:pPr>
    <w:rPr>
      <w:rFonts w:ascii="Gill Sans MT" w:eastAsiaTheme="majorEastAsia" w:hAnsi="Gill Sans MT" w:cs="Times"/>
      <w:bCs/>
      <w:iCs/>
      <w:caps/>
      <w:color w:val="38ABED"/>
      <w:sz w:val="28"/>
      <w:szCs w:val="28"/>
      <w:lang w:val="en-GB" w:eastAsia="ja-JP"/>
    </w:rPr>
  </w:style>
  <w:style w:type="paragraph" w:customStyle="1" w:styleId="RxCHeading3">
    <w:name w:val="RxC Heading 3"/>
    <w:basedOn w:val="Normal"/>
    <w:next w:val="RxCBodyJustified13"/>
    <w:qFormat/>
    <w:rsid w:val="00BE0E3D"/>
    <w:pPr>
      <w:keepNext/>
      <w:spacing w:line="276" w:lineRule="auto"/>
      <w:jc w:val="left"/>
      <w:outlineLvl w:val="2"/>
    </w:pPr>
    <w:rPr>
      <w:rFonts w:eastAsiaTheme="minorHAnsi" w:cs="Times"/>
      <w:b/>
      <w:u w:val="single"/>
      <w:lang w:eastAsia="ja-JP"/>
    </w:rPr>
  </w:style>
  <w:style w:type="paragraph" w:customStyle="1" w:styleId="RxCLegenddescription">
    <w:name w:val="RxC Legend description"/>
    <w:next w:val="RxCBodyJustified13"/>
    <w:qFormat/>
    <w:rsid w:val="00263B7D"/>
    <w:rPr>
      <w:rFonts w:ascii="Gill Sans MT" w:eastAsiaTheme="minorHAnsi" w:hAnsi="Gill Sans MT" w:cs="Times"/>
      <w:i/>
      <w:color w:val="7C939E"/>
      <w:sz w:val="20"/>
      <w:szCs w:val="22"/>
      <w:lang w:val="en-GB"/>
    </w:rPr>
  </w:style>
  <w:style w:type="paragraph" w:customStyle="1" w:styleId="RxCLegendFigure">
    <w:name w:val="RxC Legend Figure"/>
    <w:next w:val="RxCLegenddescription"/>
    <w:qFormat/>
    <w:rsid w:val="00263B7D"/>
    <w:rPr>
      <w:rFonts w:ascii="Gill Sans MT" w:eastAsiaTheme="minorHAnsi" w:hAnsi="Gill Sans MT" w:cs="Times"/>
      <w:b/>
      <w:i/>
      <w:color w:val="7C939E"/>
      <w:sz w:val="20"/>
      <w:szCs w:val="22"/>
      <w:lang w:val="en-GB"/>
    </w:rPr>
  </w:style>
  <w:style w:type="paragraph" w:customStyle="1" w:styleId="RxCLegendTable">
    <w:name w:val="RxC Legend Table"/>
    <w:next w:val="RxCLegenddescription"/>
    <w:qFormat/>
    <w:rsid w:val="00263B7D"/>
    <w:rPr>
      <w:rFonts w:ascii="Gill Sans MT" w:eastAsiaTheme="minorHAnsi" w:hAnsi="Gill Sans MT" w:cs="Times"/>
      <w:b/>
      <w:i/>
      <w:color w:val="7C939E"/>
      <w:sz w:val="20"/>
      <w:szCs w:val="22"/>
      <w:lang w:val="en-GB"/>
    </w:rPr>
  </w:style>
  <w:style w:type="paragraph" w:customStyle="1" w:styleId="RxCPageNumber">
    <w:name w:val="RxC Page Number"/>
    <w:qFormat/>
    <w:rsid w:val="00BE0E3D"/>
    <w:pPr>
      <w:jc w:val="right"/>
    </w:pPr>
    <w:rPr>
      <w:rFonts w:ascii="Gill Sans MT" w:eastAsiaTheme="minorHAnsi" w:hAnsi="Gill Sans MT" w:cs="Times"/>
      <w:color w:val="38ABED"/>
      <w:sz w:val="20"/>
      <w:szCs w:val="22"/>
      <w:lang w:val="en-GB" w:eastAsia="ja-JP"/>
    </w:rPr>
  </w:style>
  <w:style w:type="paragraph" w:customStyle="1" w:styleId="RxCPreparedby">
    <w:name w:val="RxC Prepared by"/>
    <w:next w:val="Normal"/>
    <w:qFormat/>
    <w:rsid w:val="00BE0E3D"/>
    <w:rPr>
      <w:rFonts w:ascii="Gill Sans MT" w:eastAsiaTheme="majorEastAsia" w:hAnsi="Gill Sans MT" w:cs="Times"/>
      <w:bCs/>
      <w:iCs/>
      <w:caps/>
      <w:color w:val="38ABED"/>
      <w:sz w:val="28"/>
      <w:szCs w:val="28"/>
      <w:lang w:val="en-GB" w:eastAsia="ja-JP"/>
    </w:rPr>
  </w:style>
  <w:style w:type="paragraph" w:customStyle="1" w:styleId="RxCSubtitleWhite">
    <w:name w:val="RxC Subtitle White"/>
    <w:basedOn w:val="Normal"/>
    <w:qFormat/>
    <w:rsid w:val="00BE0E3D"/>
    <w:pPr>
      <w:numPr>
        <w:ilvl w:val="1"/>
      </w:numPr>
      <w:spacing w:line="360" w:lineRule="auto"/>
      <w:jc w:val="left"/>
    </w:pPr>
    <w:rPr>
      <w:rFonts w:eastAsiaTheme="majorEastAsia" w:cstheme="majorBidi"/>
      <w:i/>
      <w:iCs/>
      <w:color w:val="FFFFFF" w:themeColor="background1"/>
      <w:sz w:val="36"/>
      <w:szCs w:val="36"/>
      <w:lang w:val="en-US"/>
    </w:rPr>
  </w:style>
  <w:style w:type="paragraph" w:customStyle="1" w:styleId="RxCTitle">
    <w:name w:val="RxC Title"/>
    <w:qFormat/>
    <w:rsid w:val="00BE0E3D"/>
    <w:pPr>
      <w:spacing w:line="276" w:lineRule="auto"/>
    </w:pPr>
    <w:rPr>
      <w:rFonts w:ascii="Gill Sans MT" w:eastAsiaTheme="majorEastAsia" w:hAnsi="Gill Sans MT" w:cs="Times"/>
      <w:bCs/>
      <w:color w:val="003560"/>
      <w:sz w:val="44"/>
      <w:szCs w:val="88"/>
      <w:lang w:val="en-GB" w:eastAsia="ja-JP"/>
    </w:rPr>
  </w:style>
  <w:style w:type="paragraph" w:customStyle="1" w:styleId="RxcWhiteTitle">
    <w:name w:val="Rxc White Title"/>
    <w:qFormat/>
    <w:rsid w:val="00BE0E3D"/>
    <w:pPr>
      <w:spacing w:line="360" w:lineRule="auto"/>
      <w:ind w:left="720" w:hanging="720"/>
    </w:pPr>
    <w:rPr>
      <w:rFonts w:ascii="Gill Sans MT" w:hAnsi="Gill Sans MT" w:cs="Gill Sans"/>
      <w:color w:val="FFFFFF" w:themeColor="background1"/>
      <w:sz w:val="40"/>
      <w:szCs w:val="76"/>
      <w:lang w:val="en-GB"/>
    </w:rPr>
  </w:style>
  <w:style w:type="paragraph" w:styleId="TOC1">
    <w:name w:val="toc 1"/>
    <w:aliases w:val="TOC 1 RxC"/>
    <w:basedOn w:val="RxCHeading1"/>
    <w:next w:val="Normal"/>
    <w:uiPriority w:val="39"/>
    <w:unhideWhenUsed/>
    <w:qFormat/>
    <w:rsid w:val="00BE0E3D"/>
    <w:pPr>
      <w:tabs>
        <w:tab w:val="right" w:pos="9054"/>
      </w:tabs>
    </w:pPr>
    <w:rPr>
      <w:sz w:val="28"/>
    </w:rPr>
  </w:style>
  <w:style w:type="paragraph" w:styleId="TOC2">
    <w:name w:val="toc 2"/>
    <w:aliases w:val="TOC 2 RxC"/>
    <w:basedOn w:val="RxCHeading2"/>
    <w:next w:val="Normal"/>
    <w:uiPriority w:val="39"/>
    <w:unhideWhenUsed/>
    <w:qFormat/>
    <w:rsid w:val="00BE0E3D"/>
    <w:pPr>
      <w:tabs>
        <w:tab w:val="right" w:pos="9054"/>
      </w:tabs>
      <w:jc w:val="both"/>
    </w:pPr>
    <w:rPr>
      <w:bCs w:val="0"/>
      <w:iCs w:val="0"/>
      <w:caps w:val="0"/>
      <w:sz w:val="24"/>
      <w:szCs w:val="24"/>
    </w:rPr>
  </w:style>
  <w:style w:type="character" w:styleId="Hyperlink">
    <w:name w:val="Hyperlink"/>
    <w:basedOn w:val="DefaultParagraphFont"/>
    <w:uiPriority w:val="99"/>
    <w:unhideWhenUsed/>
    <w:rsid w:val="00505208"/>
    <w:rPr>
      <w:color w:val="0000FF"/>
      <w:u w:val="single"/>
    </w:rPr>
  </w:style>
  <w:style w:type="character" w:styleId="Emphasis">
    <w:name w:val="Emphasis"/>
    <w:basedOn w:val="DefaultParagraphFont"/>
    <w:uiPriority w:val="20"/>
    <w:qFormat/>
    <w:rsid w:val="00D80CE7"/>
    <w:rPr>
      <w:i/>
      <w:iCs/>
    </w:rPr>
  </w:style>
  <w:style w:type="character" w:styleId="HTMLCite">
    <w:name w:val="HTML Cite"/>
    <w:basedOn w:val="DefaultParagraphFont"/>
    <w:uiPriority w:val="99"/>
    <w:semiHidden/>
    <w:unhideWhenUsed/>
    <w:rsid w:val="00CA3582"/>
    <w:rPr>
      <w:i/>
      <w:iCs/>
    </w:rPr>
  </w:style>
  <w:style w:type="character" w:customStyle="1" w:styleId="slug-pub-date">
    <w:name w:val="slug-pub-date"/>
    <w:basedOn w:val="DefaultParagraphFont"/>
    <w:rsid w:val="00CA3582"/>
  </w:style>
  <w:style w:type="character" w:customStyle="1" w:styleId="slug-vol">
    <w:name w:val="slug-vol"/>
    <w:basedOn w:val="DefaultParagraphFont"/>
    <w:rsid w:val="00CA3582"/>
  </w:style>
  <w:style w:type="character" w:customStyle="1" w:styleId="slug-pages">
    <w:name w:val="slug-pages"/>
    <w:basedOn w:val="DefaultParagraphFont"/>
    <w:rsid w:val="00CA3582"/>
  </w:style>
  <w:style w:type="paragraph" w:styleId="ListParagraph">
    <w:name w:val="List Paragraph"/>
    <w:basedOn w:val="Normal"/>
    <w:uiPriority w:val="34"/>
    <w:qFormat/>
    <w:rsid w:val="00BA1D76"/>
    <w:pPr>
      <w:ind w:left="720"/>
      <w:contextualSpacing/>
    </w:pPr>
  </w:style>
  <w:style w:type="paragraph" w:styleId="NormalWeb">
    <w:name w:val="Normal (Web)"/>
    <w:basedOn w:val="Normal"/>
    <w:uiPriority w:val="99"/>
    <w:semiHidden/>
    <w:unhideWhenUsed/>
    <w:rsid w:val="006B01E2"/>
    <w:pPr>
      <w:spacing w:before="100" w:beforeAutospacing="1" w:after="100" w:afterAutospacing="1" w:line="240" w:lineRule="auto"/>
      <w:jc w:val="left"/>
    </w:pPr>
    <w:rPr>
      <w:rFonts w:ascii="Times" w:hAnsi="Times" w:cs="Times New Roman"/>
      <w:color w:val="auto"/>
      <w:sz w:val="20"/>
      <w:szCs w:val="20"/>
    </w:rPr>
  </w:style>
  <w:style w:type="paragraph" w:styleId="BalloonText">
    <w:name w:val="Balloon Text"/>
    <w:basedOn w:val="Normal"/>
    <w:link w:val="BalloonTextChar"/>
    <w:uiPriority w:val="99"/>
    <w:semiHidden/>
    <w:unhideWhenUsed/>
    <w:rsid w:val="002268EE"/>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268EE"/>
    <w:rPr>
      <w:rFonts w:ascii="Lucida Grande" w:hAnsi="Lucida Grande"/>
      <w:color w:val="404040" w:themeColor="text1" w:themeTint="BF"/>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7894">
      <w:bodyDiv w:val="1"/>
      <w:marLeft w:val="0"/>
      <w:marRight w:val="0"/>
      <w:marTop w:val="0"/>
      <w:marBottom w:val="0"/>
      <w:divBdr>
        <w:top w:val="none" w:sz="0" w:space="0" w:color="auto"/>
        <w:left w:val="none" w:sz="0" w:space="0" w:color="auto"/>
        <w:bottom w:val="none" w:sz="0" w:space="0" w:color="auto"/>
        <w:right w:val="none" w:sz="0" w:space="0" w:color="auto"/>
      </w:divBdr>
      <w:divsChild>
        <w:div w:id="130830775">
          <w:marLeft w:val="0"/>
          <w:marRight w:val="0"/>
          <w:marTop w:val="0"/>
          <w:marBottom w:val="0"/>
          <w:divBdr>
            <w:top w:val="none" w:sz="0" w:space="0" w:color="auto"/>
            <w:left w:val="none" w:sz="0" w:space="0" w:color="auto"/>
            <w:bottom w:val="none" w:sz="0" w:space="0" w:color="auto"/>
            <w:right w:val="none" w:sz="0" w:space="0" w:color="auto"/>
          </w:divBdr>
        </w:div>
        <w:div w:id="2142265870">
          <w:marLeft w:val="0"/>
          <w:marRight w:val="0"/>
          <w:marTop w:val="0"/>
          <w:marBottom w:val="0"/>
          <w:divBdr>
            <w:top w:val="none" w:sz="0" w:space="0" w:color="auto"/>
            <w:left w:val="none" w:sz="0" w:space="0" w:color="auto"/>
            <w:bottom w:val="none" w:sz="0" w:space="0" w:color="auto"/>
            <w:right w:val="none" w:sz="0" w:space="0" w:color="auto"/>
          </w:divBdr>
        </w:div>
        <w:div w:id="1541167041">
          <w:marLeft w:val="0"/>
          <w:marRight w:val="0"/>
          <w:marTop w:val="0"/>
          <w:marBottom w:val="0"/>
          <w:divBdr>
            <w:top w:val="none" w:sz="0" w:space="0" w:color="auto"/>
            <w:left w:val="none" w:sz="0" w:space="0" w:color="auto"/>
            <w:bottom w:val="none" w:sz="0" w:space="0" w:color="auto"/>
            <w:right w:val="none" w:sz="0" w:space="0" w:color="auto"/>
          </w:divBdr>
        </w:div>
        <w:div w:id="426199746">
          <w:marLeft w:val="0"/>
          <w:marRight w:val="0"/>
          <w:marTop w:val="0"/>
          <w:marBottom w:val="0"/>
          <w:divBdr>
            <w:top w:val="none" w:sz="0" w:space="0" w:color="auto"/>
            <w:left w:val="none" w:sz="0" w:space="0" w:color="auto"/>
            <w:bottom w:val="none" w:sz="0" w:space="0" w:color="auto"/>
            <w:right w:val="none" w:sz="0" w:space="0" w:color="auto"/>
          </w:divBdr>
        </w:div>
      </w:divsChild>
    </w:div>
    <w:div w:id="259485921">
      <w:bodyDiv w:val="1"/>
      <w:marLeft w:val="0"/>
      <w:marRight w:val="0"/>
      <w:marTop w:val="0"/>
      <w:marBottom w:val="0"/>
      <w:divBdr>
        <w:top w:val="none" w:sz="0" w:space="0" w:color="auto"/>
        <w:left w:val="none" w:sz="0" w:space="0" w:color="auto"/>
        <w:bottom w:val="none" w:sz="0" w:space="0" w:color="auto"/>
        <w:right w:val="none" w:sz="0" w:space="0" w:color="auto"/>
      </w:divBdr>
      <w:divsChild>
        <w:div w:id="1501235394">
          <w:marLeft w:val="0"/>
          <w:marRight w:val="0"/>
          <w:marTop w:val="0"/>
          <w:marBottom w:val="0"/>
          <w:divBdr>
            <w:top w:val="none" w:sz="0" w:space="0" w:color="auto"/>
            <w:left w:val="none" w:sz="0" w:space="0" w:color="auto"/>
            <w:bottom w:val="none" w:sz="0" w:space="0" w:color="auto"/>
            <w:right w:val="none" w:sz="0" w:space="0" w:color="auto"/>
          </w:divBdr>
        </w:div>
        <w:div w:id="15663175">
          <w:marLeft w:val="0"/>
          <w:marRight w:val="0"/>
          <w:marTop w:val="0"/>
          <w:marBottom w:val="0"/>
          <w:divBdr>
            <w:top w:val="none" w:sz="0" w:space="0" w:color="auto"/>
            <w:left w:val="none" w:sz="0" w:space="0" w:color="auto"/>
            <w:bottom w:val="none" w:sz="0" w:space="0" w:color="auto"/>
            <w:right w:val="none" w:sz="0" w:space="0" w:color="auto"/>
          </w:divBdr>
        </w:div>
        <w:div w:id="421950093">
          <w:marLeft w:val="0"/>
          <w:marRight w:val="0"/>
          <w:marTop w:val="0"/>
          <w:marBottom w:val="0"/>
          <w:divBdr>
            <w:top w:val="none" w:sz="0" w:space="0" w:color="auto"/>
            <w:left w:val="none" w:sz="0" w:space="0" w:color="auto"/>
            <w:bottom w:val="none" w:sz="0" w:space="0" w:color="auto"/>
            <w:right w:val="none" w:sz="0" w:space="0" w:color="auto"/>
          </w:divBdr>
        </w:div>
        <w:div w:id="890772512">
          <w:marLeft w:val="0"/>
          <w:marRight w:val="0"/>
          <w:marTop w:val="0"/>
          <w:marBottom w:val="0"/>
          <w:divBdr>
            <w:top w:val="none" w:sz="0" w:space="0" w:color="auto"/>
            <w:left w:val="none" w:sz="0" w:space="0" w:color="auto"/>
            <w:bottom w:val="none" w:sz="0" w:space="0" w:color="auto"/>
            <w:right w:val="none" w:sz="0" w:space="0" w:color="auto"/>
          </w:divBdr>
        </w:div>
      </w:divsChild>
    </w:div>
    <w:div w:id="301077472">
      <w:bodyDiv w:val="1"/>
      <w:marLeft w:val="0"/>
      <w:marRight w:val="0"/>
      <w:marTop w:val="0"/>
      <w:marBottom w:val="0"/>
      <w:divBdr>
        <w:top w:val="none" w:sz="0" w:space="0" w:color="auto"/>
        <w:left w:val="none" w:sz="0" w:space="0" w:color="auto"/>
        <w:bottom w:val="none" w:sz="0" w:space="0" w:color="auto"/>
        <w:right w:val="none" w:sz="0" w:space="0" w:color="auto"/>
      </w:divBdr>
      <w:divsChild>
        <w:div w:id="850295503">
          <w:marLeft w:val="0"/>
          <w:marRight w:val="0"/>
          <w:marTop w:val="0"/>
          <w:marBottom w:val="0"/>
          <w:divBdr>
            <w:top w:val="none" w:sz="0" w:space="0" w:color="auto"/>
            <w:left w:val="none" w:sz="0" w:space="0" w:color="auto"/>
            <w:bottom w:val="none" w:sz="0" w:space="0" w:color="auto"/>
            <w:right w:val="none" w:sz="0" w:space="0" w:color="auto"/>
          </w:divBdr>
        </w:div>
        <w:div w:id="318271062">
          <w:marLeft w:val="0"/>
          <w:marRight w:val="0"/>
          <w:marTop w:val="0"/>
          <w:marBottom w:val="0"/>
          <w:divBdr>
            <w:top w:val="none" w:sz="0" w:space="0" w:color="auto"/>
            <w:left w:val="none" w:sz="0" w:space="0" w:color="auto"/>
            <w:bottom w:val="none" w:sz="0" w:space="0" w:color="auto"/>
            <w:right w:val="none" w:sz="0" w:space="0" w:color="auto"/>
          </w:divBdr>
        </w:div>
      </w:divsChild>
    </w:div>
    <w:div w:id="694575147">
      <w:bodyDiv w:val="1"/>
      <w:marLeft w:val="0"/>
      <w:marRight w:val="0"/>
      <w:marTop w:val="0"/>
      <w:marBottom w:val="0"/>
      <w:divBdr>
        <w:top w:val="none" w:sz="0" w:space="0" w:color="auto"/>
        <w:left w:val="none" w:sz="0" w:space="0" w:color="auto"/>
        <w:bottom w:val="none" w:sz="0" w:space="0" w:color="auto"/>
        <w:right w:val="none" w:sz="0" w:space="0" w:color="auto"/>
      </w:divBdr>
    </w:div>
    <w:div w:id="1215504764">
      <w:bodyDiv w:val="1"/>
      <w:marLeft w:val="0"/>
      <w:marRight w:val="0"/>
      <w:marTop w:val="0"/>
      <w:marBottom w:val="0"/>
      <w:divBdr>
        <w:top w:val="none" w:sz="0" w:space="0" w:color="auto"/>
        <w:left w:val="none" w:sz="0" w:space="0" w:color="auto"/>
        <w:bottom w:val="none" w:sz="0" w:space="0" w:color="auto"/>
        <w:right w:val="none" w:sz="0" w:space="0" w:color="auto"/>
      </w:divBdr>
      <w:divsChild>
        <w:div w:id="1498764279">
          <w:marLeft w:val="0"/>
          <w:marRight w:val="0"/>
          <w:marTop w:val="0"/>
          <w:marBottom w:val="0"/>
          <w:divBdr>
            <w:top w:val="none" w:sz="0" w:space="0" w:color="auto"/>
            <w:left w:val="none" w:sz="0" w:space="0" w:color="auto"/>
            <w:bottom w:val="none" w:sz="0" w:space="0" w:color="auto"/>
            <w:right w:val="none" w:sz="0" w:space="0" w:color="auto"/>
          </w:divBdr>
        </w:div>
        <w:div w:id="1057708674">
          <w:marLeft w:val="0"/>
          <w:marRight w:val="0"/>
          <w:marTop w:val="0"/>
          <w:marBottom w:val="0"/>
          <w:divBdr>
            <w:top w:val="none" w:sz="0" w:space="0" w:color="auto"/>
            <w:left w:val="none" w:sz="0" w:space="0" w:color="auto"/>
            <w:bottom w:val="none" w:sz="0" w:space="0" w:color="auto"/>
            <w:right w:val="none" w:sz="0" w:space="0" w:color="auto"/>
          </w:divBdr>
        </w:div>
      </w:divsChild>
    </w:div>
    <w:div w:id="1251542998">
      <w:bodyDiv w:val="1"/>
      <w:marLeft w:val="0"/>
      <w:marRight w:val="0"/>
      <w:marTop w:val="0"/>
      <w:marBottom w:val="0"/>
      <w:divBdr>
        <w:top w:val="none" w:sz="0" w:space="0" w:color="auto"/>
        <w:left w:val="none" w:sz="0" w:space="0" w:color="auto"/>
        <w:bottom w:val="none" w:sz="0" w:space="0" w:color="auto"/>
        <w:right w:val="none" w:sz="0" w:space="0" w:color="auto"/>
      </w:divBdr>
      <w:divsChild>
        <w:div w:id="1662925093">
          <w:marLeft w:val="0"/>
          <w:marRight w:val="0"/>
          <w:marTop w:val="0"/>
          <w:marBottom w:val="0"/>
          <w:divBdr>
            <w:top w:val="none" w:sz="0" w:space="0" w:color="auto"/>
            <w:left w:val="none" w:sz="0" w:space="0" w:color="auto"/>
            <w:bottom w:val="none" w:sz="0" w:space="0" w:color="auto"/>
            <w:right w:val="none" w:sz="0" w:space="0" w:color="auto"/>
          </w:divBdr>
        </w:div>
        <w:div w:id="1219591379">
          <w:marLeft w:val="0"/>
          <w:marRight w:val="0"/>
          <w:marTop w:val="0"/>
          <w:marBottom w:val="0"/>
          <w:divBdr>
            <w:top w:val="none" w:sz="0" w:space="0" w:color="auto"/>
            <w:left w:val="none" w:sz="0" w:space="0" w:color="auto"/>
            <w:bottom w:val="none" w:sz="0" w:space="0" w:color="auto"/>
            <w:right w:val="none" w:sz="0" w:space="0" w:color="auto"/>
          </w:divBdr>
        </w:div>
        <w:div w:id="1177427638">
          <w:marLeft w:val="0"/>
          <w:marRight w:val="0"/>
          <w:marTop w:val="0"/>
          <w:marBottom w:val="0"/>
          <w:divBdr>
            <w:top w:val="none" w:sz="0" w:space="0" w:color="auto"/>
            <w:left w:val="none" w:sz="0" w:space="0" w:color="auto"/>
            <w:bottom w:val="none" w:sz="0" w:space="0" w:color="auto"/>
            <w:right w:val="none" w:sz="0" w:space="0" w:color="auto"/>
          </w:divBdr>
        </w:div>
      </w:divsChild>
    </w:div>
    <w:div w:id="1385566871">
      <w:bodyDiv w:val="1"/>
      <w:marLeft w:val="0"/>
      <w:marRight w:val="0"/>
      <w:marTop w:val="0"/>
      <w:marBottom w:val="0"/>
      <w:divBdr>
        <w:top w:val="none" w:sz="0" w:space="0" w:color="auto"/>
        <w:left w:val="none" w:sz="0" w:space="0" w:color="auto"/>
        <w:bottom w:val="none" w:sz="0" w:space="0" w:color="auto"/>
        <w:right w:val="none" w:sz="0" w:space="0" w:color="auto"/>
      </w:divBdr>
      <w:divsChild>
        <w:div w:id="795836157">
          <w:marLeft w:val="0"/>
          <w:marRight w:val="0"/>
          <w:marTop w:val="0"/>
          <w:marBottom w:val="0"/>
          <w:divBdr>
            <w:top w:val="none" w:sz="0" w:space="0" w:color="auto"/>
            <w:left w:val="none" w:sz="0" w:space="0" w:color="auto"/>
            <w:bottom w:val="none" w:sz="0" w:space="0" w:color="auto"/>
            <w:right w:val="none" w:sz="0" w:space="0" w:color="auto"/>
          </w:divBdr>
        </w:div>
        <w:div w:id="1784835855">
          <w:marLeft w:val="0"/>
          <w:marRight w:val="0"/>
          <w:marTop w:val="0"/>
          <w:marBottom w:val="0"/>
          <w:divBdr>
            <w:top w:val="none" w:sz="0" w:space="0" w:color="auto"/>
            <w:left w:val="none" w:sz="0" w:space="0" w:color="auto"/>
            <w:bottom w:val="none" w:sz="0" w:space="0" w:color="auto"/>
            <w:right w:val="none" w:sz="0" w:space="0" w:color="auto"/>
          </w:divBdr>
        </w:div>
        <w:div w:id="1267928888">
          <w:marLeft w:val="0"/>
          <w:marRight w:val="0"/>
          <w:marTop w:val="0"/>
          <w:marBottom w:val="0"/>
          <w:divBdr>
            <w:top w:val="none" w:sz="0" w:space="0" w:color="auto"/>
            <w:left w:val="none" w:sz="0" w:space="0" w:color="auto"/>
            <w:bottom w:val="none" w:sz="0" w:space="0" w:color="auto"/>
            <w:right w:val="none" w:sz="0" w:space="0" w:color="auto"/>
          </w:divBdr>
        </w:div>
        <w:div w:id="1431047217">
          <w:marLeft w:val="0"/>
          <w:marRight w:val="0"/>
          <w:marTop w:val="0"/>
          <w:marBottom w:val="0"/>
          <w:divBdr>
            <w:top w:val="none" w:sz="0" w:space="0" w:color="auto"/>
            <w:left w:val="none" w:sz="0" w:space="0" w:color="auto"/>
            <w:bottom w:val="none" w:sz="0" w:space="0" w:color="auto"/>
            <w:right w:val="none" w:sz="0" w:space="0" w:color="auto"/>
          </w:divBdr>
        </w:div>
        <w:div w:id="791048405">
          <w:marLeft w:val="0"/>
          <w:marRight w:val="0"/>
          <w:marTop w:val="0"/>
          <w:marBottom w:val="0"/>
          <w:divBdr>
            <w:top w:val="none" w:sz="0" w:space="0" w:color="auto"/>
            <w:left w:val="none" w:sz="0" w:space="0" w:color="auto"/>
            <w:bottom w:val="none" w:sz="0" w:space="0" w:color="auto"/>
            <w:right w:val="none" w:sz="0" w:space="0" w:color="auto"/>
          </w:divBdr>
        </w:div>
        <w:div w:id="1171873941">
          <w:marLeft w:val="0"/>
          <w:marRight w:val="0"/>
          <w:marTop w:val="0"/>
          <w:marBottom w:val="0"/>
          <w:divBdr>
            <w:top w:val="none" w:sz="0" w:space="0" w:color="auto"/>
            <w:left w:val="none" w:sz="0" w:space="0" w:color="auto"/>
            <w:bottom w:val="none" w:sz="0" w:space="0" w:color="auto"/>
            <w:right w:val="none" w:sz="0" w:space="0" w:color="auto"/>
          </w:divBdr>
        </w:div>
      </w:divsChild>
    </w:div>
    <w:div w:id="1975060587">
      <w:bodyDiv w:val="1"/>
      <w:marLeft w:val="0"/>
      <w:marRight w:val="0"/>
      <w:marTop w:val="0"/>
      <w:marBottom w:val="0"/>
      <w:divBdr>
        <w:top w:val="none" w:sz="0" w:space="0" w:color="auto"/>
        <w:left w:val="none" w:sz="0" w:space="0" w:color="auto"/>
        <w:bottom w:val="none" w:sz="0" w:space="0" w:color="auto"/>
        <w:right w:val="none" w:sz="0" w:space="0" w:color="auto"/>
      </w:divBdr>
      <w:divsChild>
        <w:div w:id="203493479">
          <w:marLeft w:val="0"/>
          <w:marRight w:val="0"/>
          <w:marTop w:val="0"/>
          <w:marBottom w:val="0"/>
          <w:divBdr>
            <w:top w:val="none" w:sz="0" w:space="0" w:color="auto"/>
            <w:left w:val="none" w:sz="0" w:space="0" w:color="auto"/>
            <w:bottom w:val="none" w:sz="0" w:space="0" w:color="auto"/>
            <w:right w:val="none" w:sz="0" w:space="0" w:color="auto"/>
          </w:divBdr>
        </w:div>
        <w:div w:id="1448811390">
          <w:marLeft w:val="0"/>
          <w:marRight w:val="0"/>
          <w:marTop w:val="0"/>
          <w:marBottom w:val="0"/>
          <w:divBdr>
            <w:top w:val="none" w:sz="0" w:space="0" w:color="auto"/>
            <w:left w:val="none" w:sz="0" w:space="0" w:color="auto"/>
            <w:bottom w:val="none" w:sz="0" w:space="0" w:color="auto"/>
            <w:right w:val="none" w:sz="0" w:space="0" w:color="auto"/>
          </w:divBdr>
        </w:div>
        <w:div w:id="1062292928">
          <w:marLeft w:val="0"/>
          <w:marRight w:val="0"/>
          <w:marTop w:val="0"/>
          <w:marBottom w:val="0"/>
          <w:divBdr>
            <w:top w:val="none" w:sz="0" w:space="0" w:color="auto"/>
            <w:left w:val="none" w:sz="0" w:space="0" w:color="auto"/>
            <w:bottom w:val="none" w:sz="0" w:space="0" w:color="auto"/>
            <w:right w:val="none" w:sz="0" w:space="0" w:color="auto"/>
          </w:divBdr>
        </w:div>
        <w:div w:id="1511681458">
          <w:marLeft w:val="0"/>
          <w:marRight w:val="0"/>
          <w:marTop w:val="0"/>
          <w:marBottom w:val="0"/>
          <w:divBdr>
            <w:top w:val="none" w:sz="0" w:space="0" w:color="auto"/>
            <w:left w:val="none" w:sz="0" w:space="0" w:color="auto"/>
            <w:bottom w:val="none" w:sz="0" w:space="0" w:color="auto"/>
            <w:right w:val="none" w:sz="0" w:space="0" w:color="auto"/>
          </w:divBdr>
        </w:div>
      </w:divsChild>
    </w:div>
    <w:div w:id="1985115929">
      <w:bodyDiv w:val="1"/>
      <w:marLeft w:val="0"/>
      <w:marRight w:val="0"/>
      <w:marTop w:val="0"/>
      <w:marBottom w:val="0"/>
      <w:divBdr>
        <w:top w:val="none" w:sz="0" w:space="0" w:color="auto"/>
        <w:left w:val="none" w:sz="0" w:space="0" w:color="auto"/>
        <w:bottom w:val="none" w:sz="0" w:space="0" w:color="auto"/>
        <w:right w:val="none" w:sz="0" w:space="0" w:color="auto"/>
      </w:divBdr>
      <w:divsChild>
        <w:div w:id="1440952983">
          <w:marLeft w:val="0"/>
          <w:marRight w:val="0"/>
          <w:marTop w:val="0"/>
          <w:marBottom w:val="0"/>
          <w:divBdr>
            <w:top w:val="none" w:sz="0" w:space="0" w:color="auto"/>
            <w:left w:val="none" w:sz="0" w:space="0" w:color="auto"/>
            <w:bottom w:val="none" w:sz="0" w:space="0" w:color="auto"/>
            <w:right w:val="none" w:sz="0" w:space="0" w:color="auto"/>
          </w:divBdr>
        </w:div>
        <w:div w:id="1384671979">
          <w:marLeft w:val="0"/>
          <w:marRight w:val="0"/>
          <w:marTop w:val="0"/>
          <w:marBottom w:val="0"/>
          <w:divBdr>
            <w:top w:val="none" w:sz="0" w:space="0" w:color="auto"/>
            <w:left w:val="none" w:sz="0" w:space="0" w:color="auto"/>
            <w:bottom w:val="none" w:sz="0" w:space="0" w:color="auto"/>
            <w:right w:val="none" w:sz="0" w:space="0" w:color="auto"/>
          </w:divBdr>
        </w:div>
        <w:div w:id="1760130069">
          <w:marLeft w:val="0"/>
          <w:marRight w:val="0"/>
          <w:marTop w:val="0"/>
          <w:marBottom w:val="0"/>
          <w:divBdr>
            <w:top w:val="none" w:sz="0" w:space="0" w:color="auto"/>
            <w:left w:val="none" w:sz="0" w:space="0" w:color="auto"/>
            <w:bottom w:val="none" w:sz="0" w:space="0" w:color="auto"/>
            <w:right w:val="none" w:sz="0" w:space="0" w:color="auto"/>
          </w:divBdr>
        </w:div>
        <w:div w:id="1956399007">
          <w:marLeft w:val="0"/>
          <w:marRight w:val="0"/>
          <w:marTop w:val="0"/>
          <w:marBottom w:val="0"/>
          <w:divBdr>
            <w:top w:val="none" w:sz="0" w:space="0" w:color="auto"/>
            <w:left w:val="none" w:sz="0" w:space="0" w:color="auto"/>
            <w:bottom w:val="none" w:sz="0" w:space="0" w:color="auto"/>
            <w:right w:val="none" w:sz="0" w:space="0" w:color="auto"/>
          </w:divBdr>
        </w:div>
        <w:div w:id="1185167422">
          <w:marLeft w:val="0"/>
          <w:marRight w:val="0"/>
          <w:marTop w:val="0"/>
          <w:marBottom w:val="0"/>
          <w:divBdr>
            <w:top w:val="none" w:sz="0" w:space="0" w:color="auto"/>
            <w:left w:val="none" w:sz="0" w:space="0" w:color="auto"/>
            <w:bottom w:val="none" w:sz="0" w:space="0" w:color="auto"/>
            <w:right w:val="none" w:sz="0" w:space="0" w:color="auto"/>
          </w:divBdr>
        </w:div>
        <w:div w:id="841167225">
          <w:marLeft w:val="0"/>
          <w:marRight w:val="0"/>
          <w:marTop w:val="0"/>
          <w:marBottom w:val="0"/>
          <w:divBdr>
            <w:top w:val="none" w:sz="0" w:space="0" w:color="auto"/>
            <w:left w:val="none" w:sz="0" w:space="0" w:color="auto"/>
            <w:bottom w:val="none" w:sz="0" w:space="0" w:color="auto"/>
            <w:right w:val="none" w:sz="0" w:space="0" w:color="auto"/>
          </w:divBdr>
        </w:div>
        <w:div w:id="2006933810">
          <w:marLeft w:val="0"/>
          <w:marRight w:val="0"/>
          <w:marTop w:val="0"/>
          <w:marBottom w:val="0"/>
          <w:divBdr>
            <w:top w:val="none" w:sz="0" w:space="0" w:color="auto"/>
            <w:left w:val="none" w:sz="0" w:space="0" w:color="auto"/>
            <w:bottom w:val="none" w:sz="0" w:space="0" w:color="auto"/>
            <w:right w:val="none" w:sz="0" w:space="0" w:color="auto"/>
          </w:divBdr>
        </w:div>
        <w:div w:id="1691642498">
          <w:marLeft w:val="0"/>
          <w:marRight w:val="0"/>
          <w:marTop w:val="0"/>
          <w:marBottom w:val="0"/>
          <w:divBdr>
            <w:top w:val="none" w:sz="0" w:space="0" w:color="auto"/>
            <w:left w:val="none" w:sz="0" w:space="0" w:color="auto"/>
            <w:bottom w:val="none" w:sz="0" w:space="0" w:color="auto"/>
            <w:right w:val="none" w:sz="0" w:space="0" w:color="auto"/>
          </w:divBdr>
        </w:div>
        <w:div w:id="867379002">
          <w:marLeft w:val="0"/>
          <w:marRight w:val="0"/>
          <w:marTop w:val="0"/>
          <w:marBottom w:val="0"/>
          <w:divBdr>
            <w:top w:val="none" w:sz="0" w:space="0" w:color="auto"/>
            <w:left w:val="none" w:sz="0" w:space="0" w:color="auto"/>
            <w:bottom w:val="none" w:sz="0" w:space="0" w:color="auto"/>
            <w:right w:val="none" w:sz="0" w:space="0" w:color="auto"/>
          </w:divBdr>
        </w:div>
        <w:div w:id="2075355143">
          <w:marLeft w:val="0"/>
          <w:marRight w:val="0"/>
          <w:marTop w:val="0"/>
          <w:marBottom w:val="0"/>
          <w:divBdr>
            <w:top w:val="none" w:sz="0" w:space="0" w:color="auto"/>
            <w:left w:val="none" w:sz="0" w:space="0" w:color="auto"/>
            <w:bottom w:val="none" w:sz="0" w:space="0" w:color="auto"/>
            <w:right w:val="none" w:sz="0" w:space="0" w:color="auto"/>
          </w:divBdr>
        </w:div>
        <w:div w:id="2113016227">
          <w:marLeft w:val="0"/>
          <w:marRight w:val="0"/>
          <w:marTop w:val="0"/>
          <w:marBottom w:val="0"/>
          <w:divBdr>
            <w:top w:val="none" w:sz="0" w:space="0" w:color="auto"/>
            <w:left w:val="none" w:sz="0" w:space="0" w:color="auto"/>
            <w:bottom w:val="none" w:sz="0" w:space="0" w:color="auto"/>
            <w:right w:val="none" w:sz="0" w:space="0" w:color="auto"/>
          </w:divBdr>
        </w:div>
        <w:div w:id="566451737">
          <w:marLeft w:val="0"/>
          <w:marRight w:val="0"/>
          <w:marTop w:val="0"/>
          <w:marBottom w:val="0"/>
          <w:divBdr>
            <w:top w:val="none" w:sz="0" w:space="0" w:color="auto"/>
            <w:left w:val="none" w:sz="0" w:space="0" w:color="auto"/>
            <w:bottom w:val="none" w:sz="0" w:space="0" w:color="auto"/>
            <w:right w:val="none" w:sz="0" w:space="0" w:color="auto"/>
          </w:divBdr>
        </w:div>
        <w:div w:id="2093819002">
          <w:marLeft w:val="0"/>
          <w:marRight w:val="0"/>
          <w:marTop w:val="0"/>
          <w:marBottom w:val="0"/>
          <w:divBdr>
            <w:top w:val="none" w:sz="0" w:space="0" w:color="auto"/>
            <w:left w:val="none" w:sz="0" w:space="0" w:color="auto"/>
            <w:bottom w:val="none" w:sz="0" w:space="0" w:color="auto"/>
            <w:right w:val="none" w:sz="0" w:space="0" w:color="auto"/>
          </w:divBdr>
        </w:div>
        <w:div w:id="1703169633">
          <w:marLeft w:val="0"/>
          <w:marRight w:val="0"/>
          <w:marTop w:val="0"/>
          <w:marBottom w:val="0"/>
          <w:divBdr>
            <w:top w:val="none" w:sz="0" w:space="0" w:color="auto"/>
            <w:left w:val="none" w:sz="0" w:space="0" w:color="auto"/>
            <w:bottom w:val="none" w:sz="0" w:space="0" w:color="auto"/>
            <w:right w:val="none" w:sz="0" w:space="0" w:color="auto"/>
          </w:divBdr>
        </w:div>
        <w:div w:id="2058775191">
          <w:marLeft w:val="0"/>
          <w:marRight w:val="0"/>
          <w:marTop w:val="0"/>
          <w:marBottom w:val="0"/>
          <w:divBdr>
            <w:top w:val="none" w:sz="0" w:space="0" w:color="auto"/>
            <w:left w:val="none" w:sz="0" w:space="0" w:color="auto"/>
            <w:bottom w:val="none" w:sz="0" w:space="0" w:color="auto"/>
            <w:right w:val="none" w:sz="0" w:space="0" w:color="auto"/>
          </w:divBdr>
        </w:div>
        <w:div w:id="1014038920">
          <w:marLeft w:val="0"/>
          <w:marRight w:val="0"/>
          <w:marTop w:val="0"/>
          <w:marBottom w:val="0"/>
          <w:divBdr>
            <w:top w:val="none" w:sz="0" w:space="0" w:color="auto"/>
            <w:left w:val="none" w:sz="0" w:space="0" w:color="auto"/>
            <w:bottom w:val="none" w:sz="0" w:space="0" w:color="auto"/>
            <w:right w:val="none" w:sz="0" w:space="0" w:color="auto"/>
          </w:divBdr>
        </w:div>
        <w:div w:id="1441098559">
          <w:marLeft w:val="0"/>
          <w:marRight w:val="0"/>
          <w:marTop w:val="0"/>
          <w:marBottom w:val="0"/>
          <w:divBdr>
            <w:top w:val="none" w:sz="0" w:space="0" w:color="auto"/>
            <w:left w:val="none" w:sz="0" w:space="0" w:color="auto"/>
            <w:bottom w:val="none" w:sz="0" w:space="0" w:color="auto"/>
            <w:right w:val="none" w:sz="0" w:space="0" w:color="auto"/>
          </w:divBdr>
        </w:div>
        <w:div w:id="1871723048">
          <w:marLeft w:val="0"/>
          <w:marRight w:val="0"/>
          <w:marTop w:val="0"/>
          <w:marBottom w:val="0"/>
          <w:divBdr>
            <w:top w:val="none" w:sz="0" w:space="0" w:color="auto"/>
            <w:left w:val="none" w:sz="0" w:space="0" w:color="auto"/>
            <w:bottom w:val="none" w:sz="0" w:space="0" w:color="auto"/>
            <w:right w:val="none" w:sz="0" w:space="0" w:color="auto"/>
          </w:divBdr>
        </w:div>
        <w:div w:id="666326247">
          <w:marLeft w:val="0"/>
          <w:marRight w:val="0"/>
          <w:marTop w:val="0"/>
          <w:marBottom w:val="0"/>
          <w:divBdr>
            <w:top w:val="none" w:sz="0" w:space="0" w:color="auto"/>
            <w:left w:val="none" w:sz="0" w:space="0" w:color="auto"/>
            <w:bottom w:val="none" w:sz="0" w:space="0" w:color="auto"/>
            <w:right w:val="none" w:sz="0" w:space="0" w:color="auto"/>
          </w:divBdr>
        </w:div>
        <w:div w:id="895354672">
          <w:marLeft w:val="0"/>
          <w:marRight w:val="0"/>
          <w:marTop w:val="0"/>
          <w:marBottom w:val="0"/>
          <w:divBdr>
            <w:top w:val="none" w:sz="0" w:space="0" w:color="auto"/>
            <w:left w:val="none" w:sz="0" w:space="0" w:color="auto"/>
            <w:bottom w:val="none" w:sz="0" w:space="0" w:color="auto"/>
            <w:right w:val="none" w:sz="0" w:space="0" w:color="auto"/>
          </w:divBdr>
        </w:div>
        <w:div w:id="956520864">
          <w:marLeft w:val="0"/>
          <w:marRight w:val="0"/>
          <w:marTop w:val="0"/>
          <w:marBottom w:val="0"/>
          <w:divBdr>
            <w:top w:val="none" w:sz="0" w:space="0" w:color="auto"/>
            <w:left w:val="none" w:sz="0" w:space="0" w:color="auto"/>
            <w:bottom w:val="none" w:sz="0" w:space="0" w:color="auto"/>
            <w:right w:val="none" w:sz="0" w:space="0" w:color="auto"/>
          </w:divBdr>
        </w:div>
      </w:divsChild>
    </w:div>
    <w:div w:id="2054503449">
      <w:bodyDiv w:val="1"/>
      <w:marLeft w:val="0"/>
      <w:marRight w:val="0"/>
      <w:marTop w:val="0"/>
      <w:marBottom w:val="0"/>
      <w:divBdr>
        <w:top w:val="none" w:sz="0" w:space="0" w:color="auto"/>
        <w:left w:val="none" w:sz="0" w:space="0" w:color="auto"/>
        <w:bottom w:val="none" w:sz="0" w:space="0" w:color="auto"/>
        <w:right w:val="none" w:sz="0" w:space="0" w:color="auto"/>
      </w:divBdr>
      <w:divsChild>
        <w:div w:id="569538818">
          <w:marLeft w:val="0"/>
          <w:marRight w:val="0"/>
          <w:marTop w:val="0"/>
          <w:marBottom w:val="0"/>
          <w:divBdr>
            <w:top w:val="none" w:sz="0" w:space="0" w:color="auto"/>
            <w:left w:val="none" w:sz="0" w:space="0" w:color="auto"/>
            <w:bottom w:val="none" w:sz="0" w:space="0" w:color="auto"/>
            <w:right w:val="none" w:sz="0" w:space="0" w:color="auto"/>
          </w:divBdr>
        </w:div>
        <w:div w:id="1891260486">
          <w:marLeft w:val="0"/>
          <w:marRight w:val="0"/>
          <w:marTop w:val="0"/>
          <w:marBottom w:val="0"/>
          <w:divBdr>
            <w:top w:val="none" w:sz="0" w:space="0" w:color="auto"/>
            <w:left w:val="none" w:sz="0" w:space="0" w:color="auto"/>
            <w:bottom w:val="none" w:sz="0" w:space="0" w:color="auto"/>
            <w:right w:val="none" w:sz="0" w:space="0" w:color="auto"/>
          </w:divBdr>
        </w:div>
        <w:div w:id="132255586">
          <w:marLeft w:val="0"/>
          <w:marRight w:val="0"/>
          <w:marTop w:val="0"/>
          <w:marBottom w:val="0"/>
          <w:divBdr>
            <w:top w:val="none" w:sz="0" w:space="0" w:color="auto"/>
            <w:left w:val="none" w:sz="0" w:space="0" w:color="auto"/>
            <w:bottom w:val="none" w:sz="0" w:space="0" w:color="auto"/>
            <w:right w:val="none" w:sz="0" w:space="0" w:color="auto"/>
          </w:divBdr>
        </w:div>
        <w:div w:id="727538848">
          <w:marLeft w:val="0"/>
          <w:marRight w:val="0"/>
          <w:marTop w:val="0"/>
          <w:marBottom w:val="0"/>
          <w:divBdr>
            <w:top w:val="none" w:sz="0" w:space="0" w:color="auto"/>
            <w:left w:val="none" w:sz="0" w:space="0" w:color="auto"/>
            <w:bottom w:val="none" w:sz="0" w:space="0" w:color="auto"/>
            <w:right w:val="none" w:sz="0" w:space="0" w:color="auto"/>
          </w:divBdr>
        </w:div>
        <w:div w:id="462387941">
          <w:marLeft w:val="0"/>
          <w:marRight w:val="0"/>
          <w:marTop w:val="0"/>
          <w:marBottom w:val="0"/>
          <w:divBdr>
            <w:top w:val="none" w:sz="0" w:space="0" w:color="auto"/>
            <w:left w:val="none" w:sz="0" w:space="0" w:color="auto"/>
            <w:bottom w:val="none" w:sz="0" w:space="0" w:color="auto"/>
            <w:right w:val="none" w:sz="0" w:space="0" w:color="auto"/>
          </w:divBdr>
        </w:div>
        <w:div w:id="1475752127">
          <w:marLeft w:val="0"/>
          <w:marRight w:val="0"/>
          <w:marTop w:val="0"/>
          <w:marBottom w:val="0"/>
          <w:divBdr>
            <w:top w:val="none" w:sz="0" w:space="0" w:color="auto"/>
            <w:left w:val="none" w:sz="0" w:space="0" w:color="auto"/>
            <w:bottom w:val="none" w:sz="0" w:space="0" w:color="auto"/>
            <w:right w:val="none" w:sz="0" w:space="0" w:color="auto"/>
          </w:divBdr>
        </w:div>
        <w:div w:id="770202664">
          <w:marLeft w:val="0"/>
          <w:marRight w:val="0"/>
          <w:marTop w:val="0"/>
          <w:marBottom w:val="0"/>
          <w:divBdr>
            <w:top w:val="none" w:sz="0" w:space="0" w:color="auto"/>
            <w:left w:val="none" w:sz="0" w:space="0" w:color="auto"/>
            <w:bottom w:val="none" w:sz="0" w:space="0" w:color="auto"/>
            <w:right w:val="none" w:sz="0" w:space="0" w:color="auto"/>
          </w:divBdr>
        </w:div>
        <w:div w:id="217396450">
          <w:marLeft w:val="0"/>
          <w:marRight w:val="0"/>
          <w:marTop w:val="0"/>
          <w:marBottom w:val="0"/>
          <w:divBdr>
            <w:top w:val="none" w:sz="0" w:space="0" w:color="auto"/>
            <w:left w:val="none" w:sz="0" w:space="0" w:color="auto"/>
            <w:bottom w:val="none" w:sz="0" w:space="0" w:color="auto"/>
            <w:right w:val="none" w:sz="0" w:space="0" w:color="auto"/>
          </w:divBdr>
        </w:div>
        <w:div w:id="1724669252">
          <w:marLeft w:val="0"/>
          <w:marRight w:val="0"/>
          <w:marTop w:val="0"/>
          <w:marBottom w:val="0"/>
          <w:divBdr>
            <w:top w:val="none" w:sz="0" w:space="0" w:color="auto"/>
            <w:left w:val="none" w:sz="0" w:space="0" w:color="auto"/>
            <w:bottom w:val="none" w:sz="0" w:space="0" w:color="auto"/>
            <w:right w:val="none" w:sz="0" w:space="0" w:color="auto"/>
          </w:divBdr>
        </w:div>
        <w:div w:id="3295254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ill@rxcelera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9548</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RxCelerate Ltd</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 Piercy</dc:creator>
  <cp:lastModifiedBy>Debs Flack</cp:lastModifiedBy>
  <cp:revision>2</cp:revision>
  <dcterms:created xsi:type="dcterms:W3CDTF">2020-11-18T13:15:00Z</dcterms:created>
  <dcterms:modified xsi:type="dcterms:W3CDTF">2020-11-18T13:15:00Z</dcterms:modified>
</cp:coreProperties>
</file>