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F1567" w14:textId="7A04BBE4" w:rsidR="00B35427" w:rsidRDefault="000F36E6">
      <w:r>
        <w:t>Lay Summary</w:t>
      </w:r>
    </w:p>
    <w:p w14:paraId="6D7A26FE" w14:textId="338E8711" w:rsidR="003A6FC6" w:rsidRDefault="003A6FC6">
      <w:r>
        <w:t>PPL</w:t>
      </w:r>
      <w:r w:rsidR="000F5F22">
        <w:t xml:space="preserve"> title</w:t>
      </w:r>
      <w:r>
        <w:t>:</w:t>
      </w:r>
      <w:r w:rsidR="00887CF5">
        <w:t xml:space="preserve"> </w:t>
      </w:r>
      <w:r w:rsidR="00887CF5" w:rsidRPr="00887CF5">
        <w:t>CNS Neuron-glia interactions, myelin plasticity, and regeneration, in health and disease</w:t>
      </w:r>
    </w:p>
    <w:p w14:paraId="39BC6079" w14:textId="23188B35" w:rsidR="003A6FC6" w:rsidRDefault="003A6FC6">
      <w:r>
        <w:t>PPL Holder:</w:t>
      </w:r>
      <w:r w:rsidR="00887CF5">
        <w:t xml:space="preserve"> </w:t>
      </w:r>
      <w:r w:rsidR="00887CF5" w:rsidRPr="00887CF5">
        <w:t>Ragnhildur Thóra Káradóttir</w:t>
      </w:r>
    </w:p>
    <w:p w14:paraId="42597611" w14:textId="1FA5D115" w:rsidR="00B64F2D" w:rsidRDefault="00B64F2D">
      <w:r>
        <w:t>PPL Number:</w:t>
      </w:r>
      <w:r w:rsidR="00887CF5">
        <w:t xml:space="preserve"> PP4353554</w:t>
      </w:r>
    </w:p>
    <w:p w14:paraId="3A09D0B8" w14:textId="77777777" w:rsidR="000F5F22" w:rsidRDefault="000F5F22"/>
    <w:p w14:paraId="5147224F" w14:textId="0FFB63EB" w:rsidR="003A6FC6" w:rsidRDefault="003A6FC6">
      <w:pPr>
        <w:rPr>
          <w:b/>
          <w:bCs/>
        </w:rPr>
      </w:pPr>
      <w:r w:rsidRPr="000F5F22">
        <w:rPr>
          <w:b/>
          <w:bCs/>
        </w:rPr>
        <w:t>What this amendment is for:</w:t>
      </w:r>
      <w:r w:rsidR="00140A69">
        <w:rPr>
          <w:b/>
          <w:bCs/>
        </w:rPr>
        <w:t xml:space="preserve"> </w:t>
      </w:r>
    </w:p>
    <w:p w14:paraId="77902959" w14:textId="60AE9D3E" w:rsidR="000F5F22" w:rsidRDefault="005D0D75">
      <w:r w:rsidRPr="005D0D75">
        <w:t xml:space="preserve">There </w:t>
      </w:r>
      <w:r>
        <w:t>was ambiguity in the phrasing of administration of substances to animals throughout the protocols which would mean we were unable to achieve our experimental aims depending on how the wording was read. We have altered the wording to ensure that it is unambiguous that multiple routes of administration may be used concurrently, e.g. administration of clozapine</w:t>
      </w:r>
      <w:r w:rsidR="00A96023">
        <w:t xml:space="preserve"> (an activity modulator)</w:t>
      </w:r>
      <w:r>
        <w:t xml:space="preserve"> in the drinking water alongside an injection of </w:t>
      </w:r>
      <w:proofErr w:type="spellStart"/>
      <w:r>
        <w:t>EdU</w:t>
      </w:r>
      <w:proofErr w:type="spellEnd"/>
      <w:r w:rsidR="00A96023">
        <w:t xml:space="preserve"> (label for newly dividing cells)</w:t>
      </w:r>
      <w:r>
        <w:t xml:space="preserve"> so that we can trace the newly dividing cells in animals where the activity has been altered using clozapine. We have </w:t>
      </w:r>
      <w:r w:rsidR="00A96023">
        <w:t xml:space="preserve">also </w:t>
      </w:r>
      <w:r>
        <w:t xml:space="preserve">included reference to the limits in the protocol justification section so that the maximum number of times that an administration route can be used, and the maximum volumes that can be administered are clear. These limits apply across all the steps within the protocol and are based on dosing regimens that are well tolerated, so that even if multiple steps within the protocol involve, for example, a series of intraperitoneal injections, the animal will not exceed the stated maximum and is not expected to show more than transient discomfort </w:t>
      </w:r>
      <w:proofErr w:type="gramStart"/>
      <w:r>
        <w:t>as a result of</w:t>
      </w:r>
      <w:proofErr w:type="gramEnd"/>
      <w:r>
        <w:t xml:space="preserve"> the procedure itself.</w:t>
      </w:r>
      <w:r w:rsidR="00A96023">
        <w:t xml:space="preserve"> We also made it clear that in cases where multiple routes of administration are used concurrently only substances that will not adversely affect the animal will be given. </w:t>
      </w:r>
    </w:p>
    <w:p w14:paraId="50238CFF" w14:textId="6EB197DE" w:rsidR="00AE3C4D" w:rsidRPr="005D0D75" w:rsidRDefault="00AE3C4D" w:rsidP="00AE3C4D">
      <w:r>
        <w:t xml:space="preserve">For our protocols which include implantation of devices into the brain, we have been trying different ways of securing the implant based on data and reports from other groups, this has led to a change in how the skin is secured around the implant, which comes with differences in healing. We have now included as an adverse effect that there may be some skin retraction and that we will follow the NVS’s guidance on wound care where this occurs.  </w:t>
      </w:r>
      <w:r w:rsidR="00A96023">
        <w:t xml:space="preserve">We’ve also included that re-suturing might be required past the </w:t>
      </w:r>
      <w:proofErr w:type="gramStart"/>
      <w:r w:rsidR="00A96023">
        <w:t>2 day</w:t>
      </w:r>
      <w:proofErr w:type="gramEnd"/>
      <w:r w:rsidR="00A96023">
        <w:t xml:space="preserve"> general constraint, this is because the dental cement used to secure implants can affect wound healing, increasing the chances that the sutures may dissolve before the wound has healed sufficiently. We will follow NVS guidance on the best route for wound care.</w:t>
      </w:r>
    </w:p>
    <w:p w14:paraId="40794E18" w14:textId="5EFF866F" w:rsidR="00AE3C4D" w:rsidRDefault="00AE3C4D">
      <w:r>
        <w:t xml:space="preserve">We also discovered that some adverse effects and humane endpoints were missing from these protocols involving implantation, namely that any animals which remove an implant or where the attachment points fail will be culled, and that this removal can trigger side effects </w:t>
      </w:r>
      <w:proofErr w:type="gramStart"/>
      <w:r>
        <w:t>similar to</w:t>
      </w:r>
      <w:proofErr w:type="gramEnd"/>
      <w:r>
        <w:t xml:space="preserve"> the implantation itself. We have not raised the severity and will still report any occasions where attachment failures lead to a more severe outcome than is permitted for the protocol. We have also added that animals may be singly housed to prevent removal of implants by cage mates.</w:t>
      </w:r>
      <w:r w:rsidR="00976D55">
        <w:t xml:space="preserve"> The clarification on the endpoint was proposed after we had to report an affected animal to the Home Office.</w:t>
      </w:r>
    </w:p>
    <w:p w14:paraId="3928FFE6" w14:textId="61704D16" w:rsidR="00AE3C4D" w:rsidRDefault="00AE3C4D">
      <w:r>
        <w:t>The adverse effects and humane endpoints specifically for neonates undergoing brain injection have also now been added to protocol 11 as these were missing before</w:t>
      </w:r>
      <w:r w:rsidR="000B4207">
        <w:t xml:space="preserve">, despite neonates being included in the protocol – </w:t>
      </w:r>
      <w:r w:rsidR="00A96023">
        <w:t xml:space="preserve">adverse effects </w:t>
      </w:r>
      <w:r w:rsidR="000B4207">
        <w:t>such as rejection upon return to the mother, or the potential for failure to thrive</w:t>
      </w:r>
      <w:r w:rsidR="00A96023">
        <w:t>; monitoring requirements for a milk spot to be seen to confirm feeding; and humane endpoints such as any loss of weight within the first 2 weeks.</w:t>
      </w:r>
    </w:p>
    <w:p w14:paraId="758311E6" w14:textId="1B425A62" w:rsidR="00976D55" w:rsidRDefault="00976D55">
      <w:r>
        <w:lastRenderedPageBreak/>
        <w:t xml:space="preserve">We have also added a new electroretinogram step to protocol 9 and 18, this is a technique for electrical recordings from cells in the eye and is not expected to cause any harm beyond the need for anaesthesia. This allows us to build upon work which we previously performed as collaborators under Keith Martin’s Project License prior to his move overseas. As part of the experimental </w:t>
      </w:r>
      <w:proofErr w:type="gramStart"/>
      <w:r>
        <w:t>requirements</w:t>
      </w:r>
      <w:proofErr w:type="gramEnd"/>
      <w:r>
        <w:t xml:space="preserve"> we also added eye injections (intravitreal) to protocol 9.</w:t>
      </w:r>
    </w:p>
    <w:p w14:paraId="421406B5" w14:textId="5A34F4EF" w:rsidR="000F5F22" w:rsidRPr="00906DC5" w:rsidRDefault="00906DC5">
      <w:r w:rsidRPr="00906DC5">
        <w:t xml:space="preserve">We have increased </w:t>
      </w:r>
      <w:r>
        <w:t>the number of mice under protocol 10 by 200 and decreased the number of rats under protocol 10 by 200.</w:t>
      </w:r>
    </w:p>
    <w:p w14:paraId="3E410916" w14:textId="3A34EDFC" w:rsidR="003A6FC6" w:rsidRDefault="003A6FC6">
      <w:r w:rsidRPr="000F5F22">
        <w:rPr>
          <w:b/>
          <w:bCs/>
        </w:rPr>
        <w:t xml:space="preserve">Why this amendment is </w:t>
      </w:r>
      <w:r w:rsidR="000F5F22">
        <w:rPr>
          <w:b/>
          <w:bCs/>
        </w:rPr>
        <w:t>needed</w:t>
      </w:r>
      <w:r w:rsidRPr="000F5F22">
        <w:rPr>
          <w:b/>
          <w:bCs/>
        </w:rPr>
        <w:t>:</w:t>
      </w:r>
      <w:r>
        <w:t xml:space="preserve"> </w:t>
      </w:r>
    </w:p>
    <w:p w14:paraId="317D7B06" w14:textId="285215E7" w:rsidR="000F5F22" w:rsidRDefault="00E9441C">
      <w:r>
        <w:t xml:space="preserve">This amendment is needed for </w:t>
      </w:r>
      <w:r w:rsidR="00AA3248">
        <w:t>4</w:t>
      </w:r>
      <w:r>
        <w:t xml:space="preserve"> main reasons, firstly to correct </w:t>
      </w:r>
      <w:r w:rsidR="00AA3248">
        <w:t xml:space="preserve">adverse effects and </w:t>
      </w:r>
      <w:r>
        <w:t xml:space="preserve">humane endpoints missing from the license, secondly to remove ambiguity and enable the work to continue as originally planned, </w:t>
      </w:r>
      <w:r w:rsidR="00AA3248">
        <w:t>thirdly</w:t>
      </w:r>
      <w:r>
        <w:t xml:space="preserve"> to include some recent observations that we have seen as a result of technique changes to improve surgical outcomes</w:t>
      </w:r>
      <w:r w:rsidR="00AA3248">
        <w:t xml:space="preserve">, and finally, </w:t>
      </w:r>
      <w:r w:rsidR="009253F9">
        <w:t xml:space="preserve">the addition of new steps to protocols 9 and 18 </w:t>
      </w:r>
      <w:r w:rsidR="00AA3248">
        <w:t>to enable us to use the visual circuit as an additional model to study myelination.</w:t>
      </w:r>
    </w:p>
    <w:p w14:paraId="70C6F8D7" w14:textId="0A61F40D" w:rsidR="00906DC5" w:rsidRDefault="009253F9">
      <w:r>
        <w:t xml:space="preserve">In terms of additional harms, this would predominantly be the inclusion of eye (intravitreal) injections to protocol 9. The addition of the electroretinogram (ERG - electrical recording from the eye) and eye injections allows us to use the visual system as an additional model.  We are interested in the visual system and </w:t>
      </w:r>
      <w:r w:rsidRPr="009253F9">
        <w:t>in particular the optic nerve, because (1) the optic nerve is one of the few fully myelinated white-matter tracts in the brain; (2) altering the activity of retinal ganglion cells (RGCs) in one eye will not lead to behavioural effects</w:t>
      </w:r>
      <w:r w:rsidR="00337608">
        <w:t xml:space="preserve"> that might affect the outcome</w:t>
      </w:r>
      <w:r w:rsidRPr="009253F9">
        <w:t>; (3)</w:t>
      </w:r>
      <w:r>
        <w:t xml:space="preserve"> eye</w:t>
      </w:r>
      <w:r w:rsidRPr="009253F9">
        <w:t xml:space="preserve"> injection of virus causes little to no immune activation in the optic nerve; (4) the visual system is well characterised, and activity in upstream neurons and downstream targets is accessible for </w:t>
      </w:r>
      <w:r w:rsidR="00906DC5">
        <w:t>injections</w:t>
      </w:r>
      <w:r w:rsidRPr="009253F9">
        <w:t xml:space="preserve"> and electrophysiological recording; (5) the visual system allows for a determination of myelin plasticity’s effect on long-range signals in the CNS (going from the eye to the back of the brain).</w:t>
      </w:r>
      <w:r w:rsidR="00906DC5">
        <w:t xml:space="preserve"> </w:t>
      </w:r>
      <w:r w:rsidR="00337608">
        <w:t xml:space="preserve"> As we would be </w:t>
      </w:r>
      <w:r w:rsidR="007B6A51">
        <w:t>making lesions</w:t>
      </w:r>
      <w:r w:rsidR="00337608">
        <w:t xml:space="preserve"> into the optic chiasm, we would not expect to see </w:t>
      </w:r>
      <w:r w:rsidR="007B6A51">
        <w:t>the most severe lesion side effects</w:t>
      </w:r>
      <w:r w:rsidR="00337608">
        <w:t xml:space="preserve"> </w:t>
      </w:r>
      <w:r w:rsidR="007B6A51">
        <w:t>unlike when we inject into hindbrain or spinal cord regions.</w:t>
      </w:r>
    </w:p>
    <w:p w14:paraId="30FDE491" w14:textId="76C713DE" w:rsidR="007B6A51" w:rsidRDefault="007B6A51">
      <w:r w:rsidRPr="007B6A51">
        <w:rPr>
          <w:noProof/>
        </w:rPr>
        <w:drawing>
          <wp:inline distT="0" distB="0" distL="0" distR="0" wp14:anchorId="4E521CCB" wp14:editId="668B212E">
            <wp:extent cx="1343212" cy="1228896"/>
            <wp:effectExtent l="0" t="0" r="9525" b="9525"/>
            <wp:docPr id="1840706432" name="Picture 1" descr="A diagram of the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6432" name="Picture 1" descr="A diagram of the brain&#10;&#10;Description automatically generated"/>
                    <pic:cNvPicPr/>
                  </pic:nvPicPr>
                  <pic:blipFill>
                    <a:blip r:embed="rId6"/>
                    <a:stretch>
                      <a:fillRect/>
                    </a:stretch>
                  </pic:blipFill>
                  <pic:spPr>
                    <a:xfrm>
                      <a:off x="0" y="0"/>
                      <a:ext cx="1343212" cy="1228896"/>
                    </a:xfrm>
                    <a:prstGeom prst="rect">
                      <a:avLst/>
                    </a:prstGeom>
                  </pic:spPr>
                </pic:pic>
              </a:graphicData>
            </a:graphic>
          </wp:inline>
        </w:drawing>
      </w:r>
    </w:p>
    <w:p w14:paraId="267EABE7" w14:textId="0F5D11AE" w:rsidR="00AA3248" w:rsidRDefault="00906DC5">
      <w:r>
        <w:t xml:space="preserve">In humans </w:t>
      </w:r>
      <w:r w:rsidR="00337608">
        <w:t xml:space="preserve">electroretinograms and eye injections are given </w:t>
      </w:r>
      <w:r w:rsidR="00337608" w:rsidRPr="00337608">
        <w:t xml:space="preserve">using topical anaesthesia and any reported discomfort is transient, with the worst discomfort being reported during the injection itself. As our mice will be anaesthetised for the </w:t>
      </w:r>
      <w:proofErr w:type="gramStart"/>
      <w:r w:rsidR="00337608" w:rsidRPr="00337608">
        <w:t>procedure</w:t>
      </w:r>
      <w:proofErr w:type="gramEnd"/>
      <w:r w:rsidR="00337608" w:rsidRPr="00337608">
        <w:t xml:space="preserve"> they will experience less discomfort than the human patients.</w:t>
      </w:r>
    </w:p>
    <w:p w14:paraId="3F55E794" w14:textId="1AE2EE3D" w:rsidR="00132879" w:rsidRDefault="00906DC5">
      <w:r>
        <w:t xml:space="preserve">The clarification of substance administration including multiple concurrent routes of administration was always the intention within the license so doesn’t add any additional harms. We have taken care with our wording to make it clear that harmful substances wouldn’t be given concurrently and that there are limits on the total number and volumes administered. Without this clarification, for example, we would be unable to administer any substances to animals which have a minipump attached to a brain cannula (for example in our chronic lesion model which needs an infusion of </w:t>
      </w:r>
      <w:proofErr w:type="spellStart"/>
      <w:r>
        <w:t>EdU</w:t>
      </w:r>
      <w:proofErr w:type="spellEnd"/>
      <w:r>
        <w:t xml:space="preserve">), this would severely limit the experiments that we would be able to do as we wouldn’t be able to give any pro-remyelination drugs or activity modulators to try and overcome the chronic lesion. </w:t>
      </w:r>
    </w:p>
    <w:p w14:paraId="3F13013B" w14:textId="4F6A51BB" w:rsidR="00E9441C" w:rsidRDefault="007B6A51">
      <w:r>
        <w:lastRenderedPageBreak/>
        <w:t xml:space="preserve">In protocol 10, we have increased the number of mice but decreased the number of rats, </w:t>
      </w:r>
      <w:proofErr w:type="gramStart"/>
      <w:r>
        <w:t>overall</w:t>
      </w:r>
      <w:proofErr w:type="gramEnd"/>
      <w:r>
        <w:t xml:space="preserve"> the total number of animals to be used under the protocol remains the same, but we have been setting up our lesion model in mice under protocol 9 and it is going well so we would like to expand into more complex protocols. This would allow us to leverage transgenic mice to answer more specific mechanistic questions about myelination that would require additional virus injections or drug administrations in rats to achieve.</w:t>
      </w:r>
    </w:p>
    <w:p w14:paraId="09DD19E1" w14:textId="77777777" w:rsidR="000F5F22" w:rsidRDefault="000F5F22"/>
    <w:p w14:paraId="01517F1A" w14:textId="31CCEDB0" w:rsidR="000F5F22" w:rsidRDefault="000F5F22">
      <w:r w:rsidRPr="000F5F22">
        <w:rPr>
          <w:b/>
          <w:bCs/>
        </w:rPr>
        <w:t>Amendment location</w:t>
      </w:r>
      <w:r>
        <w:rPr>
          <w:b/>
          <w:bCs/>
        </w:rPr>
        <w:t>:</w:t>
      </w:r>
    </w:p>
    <w:p w14:paraId="5C45DE7F" w14:textId="52A9A70C" w:rsidR="00976D55" w:rsidRDefault="00976D55">
      <w:r>
        <w:t xml:space="preserve">Protocol </w:t>
      </w:r>
      <w:proofErr w:type="gramStart"/>
      <w:r>
        <w:t>9;</w:t>
      </w:r>
      <w:proofErr w:type="gramEnd"/>
    </w:p>
    <w:p w14:paraId="5FBD1E57" w14:textId="0E8DD0C5" w:rsidR="00976D55" w:rsidRDefault="00976D55" w:rsidP="00976D55">
      <w:pPr>
        <w:ind w:firstLine="720"/>
      </w:pPr>
      <w:r>
        <w:t>Step 3</w:t>
      </w:r>
    </w:p>
    <w:p w14:paraId="25643D18" w14:textId="47F8F1F8" w:rsidR="00976D55" w:rsidRDefault="00976D55" w:rsidP="00976D55">
      <w:pPr>
        <w:ind w:firstLine="720"/>
      </w:pPr>
      <w:r>
        <w:t>Step 5</w:t>
      </w:r>
    </w:p>
    <w:p w14:paraId="035B3C12" w14:textId="16673F98" w:rsidR="00976D55" w:rsidRDefault="00976D55" w:rsidP="00976D55">
      <w:pPr>
        <w:ind w:firstLine="720"/>
      </w:pPr>
      <w:r>
        <w:t>Step 9</w:t>
      </w:r>
    </w:p>
    <w:p w14:paraId="105ABD91" w14:textId="31AEA6F0" w:rsidR="00976D55" w:rsidRDefault="00963A91" w:rsidP="00976D55">
      <w:pPr>
        <w:ind w:firstLine="720"/>
      </w:pPr>
      <w:r>
        <w:t>Step 12 (new)</w:t>
      </w:r>
    </w:p>
    <w:p w14:paraId="064D6EED" w14:textId="2333C420" w:rsidR="00963A91" w:rsidRDefault="00963A91" w:rsidP="00976D55">
      <w:pPr>
        <w:ind w:firstLine="720"/>
      </w:pPr>
      <w:r>
        <w:t>Step 13 (new)</w:t>
      </w:r>
    </w:p>
    <w:p w14:paraId="2405B6EF" w14:textId="31DE02AC" w:rsidR="00963A91" w:rsidRDefault="00963A91" w:rsidP="00976D55">
      <w:pPr>
        <w:ind w:firstLine="720"/>
      </w:pPr>
      <w:r>
        <w:t>Step 14 (old step 12, no changes other than step number)</w:t>
      </w:r>
    </w:p>
    <w:p w14:paraId="5CEBDCF6" w14:textId="1BD65FA2" w:rsidR="00963A91" w:rsidRDefault="00963A91" w:rsidP="00976D55">
      <w:pPr>
        <w:ind w:firstLine="720"/>
      </w:pPr>
      <w:r>
        <w:t>Animal Experience</w:t>
      </w:r>
    </w:p>
    <w:p w14:paraId="7959402B" w14:textId="75D7D4E2" w:rsidR="00963A91" w:rsidRDefault="00963A91" w:rsidP="00976D55">
      <w:pPr>
        <w:ind w:firstLine="720"/>
      </w:pPr>
      <w:r>
        <w:t>Protocol justification</w:t>
      </w:r>
    </w:p>
    <w:p w14:paraId="1E3F407C" w14:textId="4CD228AD" w:rsidR="00963A91" w:rsidRDefault="00963A91" w:rsidP="00963A91">
      <w:r>
        <w:t xml:space="preserve">Protocol </w:t>
      </w:r>
      <w:proofErr w:type="gramStart"/>
      <w:r>
        <w:t>10;</w:t>
      </w:r>
      <w:proofErr w:type="gramEnd"/>
    </w:p>
    <w:p w14:paraId="082DBE81" w14:textId="4664DEE5" w:rsidR="00963A91" w:rsidRDefault="00963A91" w:rsidP="00963A91">
      <w:r>
        <w:tab/>
        <w:t>Step 3</w:t>
      </w:r>
    </w:p>
    <w:p w14:paraId="5CFB16EF" w14:textId="289CE4CF" w:rsidR="00963A91" w:rsidRDefault="00963A91" w:rsidP="00963A91">
      <w:r>
        <w:tab/>
        <w:t>Step 4</w:t>
      </w:r>
    </w:p>
    <w:p w14:paraId="50143E62" w14:textId="183F5D09" w:rsidR="00963A91" w:rsidRDefault="00963A91" w:rsidP="00963A91">
      <w:r>
        <w:tab/>
        <w:t>Step 8</w:t>
      </w:r>
    </w:p>
    <w:p w14:paraId="3A12EAF2" w14:textId="36A2D9E1" w:rsidR="00963A91" w:rsidRDefault="00963A91" w:rsidP="00963A91">
      <w:r>
        <w:tab/>
        <w:t>Animal Experience</w:t>
      </w:r>
    </w:p>
    <w:p w14:paraId="6C432652" w14:textId="30D20427" w:rsidR="00963A91" w:rsidRDefault="00963A91" w:rsidP="00963A91">
      <w:r>
        <w:t xml:space="preserve">Protocol </w:t>
      </w:r>
      <w:proofErr w:type="gramStart"/>
      <w:r>
        <w:t>11;</w:t>
      </w:r>
      <w:proofErr w:type="gramEnd"/>
    </w:p>
    <w:p w14:paraId="107F818E" w14:textId="73776CC6" w:rsidR="00963A91" w:rsidRDefault="00963A91" w:rsidP="00963A91">
      <w:r>
        <w:tab/>
        <w:t>Step 2</w:t>
      </w:r>
    </w:p>
    <w:p w14:paraId="326CE235" w14:textId="4C7131F0" w:rsidR="00963A91" w:rsidRDefault="00963A91" w:rsidP="00963A91">
      <w:r>
        <w:tab/>
        <w:t>Step 5</w:t>
      </w:r>
    </w:p>
    <w:p w14:paraId="607D3CF9" w14:textId="5CDDB803" w:rsidR="00963A91" w:rsidRDefault="00963A91" w:rsidP="00963A91">
      <w:r>
        <w:t xml:space="preserve">Protocol </w:t>
      </w:r>
      <w:proofErr w:type="gramStart"/>
      <w:r>
        <w:t>12;</w:t>
      </w:r>
      <w:proofErr w:type="gramEnd"/>
    </w:p>
    <w:p w14:paraId="4B6E4DCE" w14:textId="5719F69D" w:rsidR="00963A91" w:rsidRDefault="00963A91" w:rsidP="00963A91">
      <w:r>
        <w:tab/>
        <w:t>Step 3</w:t>
      </w:r>
    </w:p>
    <w:p w14:paraId="77CD5037" w14:textId="4DB8A2D0" w:rsidR="00963A91" w:rsidRDefault="00963A91" w:rsidP="00963A91">
      <w:r>
        <w:tab/>
        <w:t>Step 7</w:t>
      </w:r>
    </w:p>
    <w:p w14:paraId="385D6D97" w14:textId="1A41714A" w:rsidR="00963A91" w:rsidRDefault="00963A91" w:rsidP="00963A91">
      <w:r>
        <w:tab/>
        <w:t>Animal Experience</w:t>
      </w:r>
    </w:p>
    <w:p w14:paraId="3C2A00D0" w14:textId="7CD6153F" w:rsidR="00963A91" w:rsidRDefault="00963A91" w:rsidP="00963A91">
      <w:r>
        <w:t xml:space="preserve">Protocol </w:t>
      </w:r>
      <w:proofErr w:type="gramStart"/>
      <w:r>
        <w:t>13;</w:t>
      </w:r>
      <w:proofErr w:type="gramEnd"/>
    </w:p>
    <w:p w14:paraId="04E23F1B" w14:textId="3C991FC6" w:rsidR="00963A91" w:rsidRDefault="00963A91" w:rsidP="00963A91">
      <w:r>
        <w:tab/>
        <w:t>Step 2</w:t>
      </w:r>
    </w:p>
    <w:p w14:paraId="5C9D7708" w14:textId="2F867B6B" w:rsidR="00963A91" w:rsidRDefault="00963A91" w:rsidP="00963A91">
      <w:r>
        <w:t xml:space="preserve">Protocol </w:t>
      </w:r>
      <w:proofErr w:type="gramStart"/>
      <w:r>
        <w:t>15;</w:t>
      </w:r>
      <w:proofErr w:type="gramEnd"/>
    </w:p>
    <w:p w14:paraId="1A645E24" w14:textId="01E3DB4C" w:rsidR="00963A91" w:rsidRDefault="00963A91" w:rsidP="00963A91">
      <w:r>
        <w:tab/>
        <w:t>Step 5</w:t>
      </w:r>
    </w:p>
    <w:p w14:paraId="1E915A06" w14:textId="326C488C" w:rsidR="00963A91" w:rsidRDefault="00963A91" w:rsidP="00963A91">
      <w:r>
        <w:lastRenderedPageBreak/>
        <w:t xml:space="preserve">Protocol </w:t>
      </w:r>
      <w:proofErr w:type="gramStart"/>
      <w:r>
        <w:t>18;</w:t>
      </w:r>
      <w:proofErr w:type="gramEnd"/>
    </w:p>
    <w:p w14:paraId="38561BE5" w14:textId="64BB38CD" w:rsidR="00963A91" w:rsidRDefault="00963A91" w:rsidP="00963A91">
      <w:r>
        <w:tab/>
        <w:t>Step 5</w:t>
      </w:r>
    </w:p>
    <w:p w14:paraId="09DE6601" w14:textId="04A90D31" w:rsidR="00963A91" w:rsidRDefault="00963A91" w:rsidP="00963A91">
      <w:r>
        <w:tab/>
        <w:t>Step 6 (new)</w:t>
      </w:r>
    </w:p>
    <w:p w14:paraId="1330A22B" w14:textId="3B4E9FC6" w:rsidR="00963A91" w:rsidRDefault="00963A91" w:rsidP="00963A91">
      <w:r>
        <w:tab/>
        <w:t>Step 7 (no change other than step number)</w:t>
      </w:r>
    </w:p>
    <w:p w14:paraId="06BD7C23" w14:textId="64164FB5" w:rsidR="00963A91" w:rsidRDefault="00963A91" w:rsidP="00963A91">
      <w:r>
        <w:tab/>
        <w:t>Animal Experience</w:t>
      </w:r>
    </w:p>
    <w:p w14:paraId="68AF3B48" w14:textId="4D6DF9B3" w:rsidR="00963A91" w:rsidRDefault="00963A91" w:rsidP="00963A91">
      <w:r>
        <w:tab/>
        <w:t>Protocol justification</w:t>
      </w:r>
    </w:p>
    <w:p w14:paraId="2097A473" w14:textId="4892E99F" w:rsidR="00963A91" w:rsidRDefault="00963A91" w:rsidP="00963A91">
      <w:r>
        <w:t xml:space="preserve">Protocol </w:t>
      </w:r>
      <w:proofErr w:type="gramStart"/>
      <w:r>
        <w:t>20;</w:t>
      </w:r>
      <w:proofErr w:type="gramEnd"/>
    </w:p>
    <w:p w14:paraId="2FC80389" w14:textId="38544A48" w:rsidR="00963A91" w:rsidRDefault="00963A91" w:rsidP="00963A91">
      <w:r>
        <w:tab/>
        <w:t>Step 3</w:t>
      </w:r>
    </w:p>
    <w:p w14:paraId="1F471F43" w14:textId="1A9FFB39" w:rsidR="00963A91" w:rsidRDefault="00963A91" w:rsidP="00963A91">
      <w:r>
        <w:tab/>
        <w:t>Step 4</w:t>
      </w:r>
    </w:p>
    <w:p w14:paraId="62774F68" w14:textId="62231326" w:rsidR="00963A91" w:rsidRDefault="00963A91" w:rsidP="00963A91">
      <w:r>
        <w:tab/>
        <w:t>Step 7</w:t>
      </w:r>
    </w:p>
    <w:p w14:paraId="5573234E" w14:textId="641823EA" w:rsidR="00963A91" w:rsidRDefault="00963A91" w:rsidP="00963A91">
      <w:r>
        <w:tab/>
        <w:t>Animal Experience</w:t>
      </w:r>
    </w:p>
    <w:p w14:paraId="6614B939" w14:textId="77777777" w:rsidR="00963A91" w:rsidRDefault="00963A91" w:rsidP="00976D55">
      <w:pPr>
        <w:ind w:firstLine="720"/>
      </w:pPr>
    </w:p>
    <w:p w14:paraId="10390059" w14:textId="77777777" w:rsidR="00976D55" w:rsidRDefault="00976D55"/>
    <w:p w14:paraId="6867E9E8" w14:textId="77777777" w:rsidR="000F5F22" w:rsidRDefault="000F5F22"/>
    <w:p w14:paraId="079D8A3C" w14:textId="1DC749A3" w:rsidR="000F5F22" w:rsidRDefault="000F5F22" w:rsidP="00F96CDB">
      <w:pPr>
        <w:jc w:val="center"/>
      </w:pPr>
    </w:p>
    <w:sectPr w:rsidR="000F5F2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A057E" w14:textId="77777777" w:rsidR="00EB4047" w:rsidRDefault="00EB4047" w:rsidP="00EB4047">
      <w:pPr>
        <w:spacing w:after="0" w:line="240" w:lineRule="auto"/>
      </w:pPr>
      <w:r>
        <w:separator/>
      </w:r>
    </w:p>
  </w:endnote>
  <w:endnote w:type="continuationSeparator" w:id="0">
    <w:p w14:paraId="62907984" w14:textId="77777777" w:rsidR="00EB4047" w:rsidRDefault="00EB4047" w:rsidP="00EB4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7FE7" w14:textId="77777777" w:rsidR="00EB4047" w:rsidRDefault="00EB40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F11B" w14:textId="77777777" w:rsidR="00EB4047" w:rsidRDefault="00EB40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3C3D4" w14:textId="77777777" w:rsidR="00EB4047" w:rsidRDefault="00EB40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29FC7" w14:textId="77777777" w:rsidR="00EB4047" w:rsidRDefault="00EB4047" w:rsidP="00EB4047">
      <w:pPr>
        <w:spacing w:after="0" w:line="240" w:lineRule="auto"/>
      </w:pPr>
      <w:r>
        <w:separator/>
      </w:r>
    </w:p>
  </w:footnote>
  <w:footnote w:type="continuationSeparator" w:id="0">
    <w:p w14:paraId="47DD6701" w14:textId="77777777" w:rsidR="00EB4047" w:rsidRDefault="00EB4047" w:rsidP="00EB4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3197" w14:textId="77777777" w:rsidR="00EB4047" w:rsidRDefault="00EB40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6608151"/>
      <w:docPartObj>
        <w:docPartGallery w:val="Watermarks"/>
        <w:docPartUnique/>
      </w:docPartObj>
    </w:sdtPr>
    <w:sdtContent>
      <w:p w14:paraId="6DD194F9" w14:textId="4770CCDE" w:rsidR="00EB4047" w:rsidRDefault="00EB4047">
        <w:pPr>
          <w:pStyle w:val="Header"/>
        </w:pPr>
        <w:r>
          <w:rPr>
            <w:noProof/>
          </w:rPr>
          <w:pict w14:anchorId="48A47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094C" w14:textId="77777777" w:rsidR="00EB4047" w:rsidRDefault="00EB40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E6"/>
    <w:rsid w:val="000B4207"/>
    <w:rsid w:val="000F36E6"/>
    <w:rsid w:val="000F5F22"/>
    <w:rsid w:val="00130881"/>
    <w:rsid w:val="00132879"/>
    <w:rsid w:val="00140A69"/>
    <w:rsid w:val="00171C1B"/>
    <w:rsid w:val="00337608"/>
    <w:rsid w:val="003A6FC6"/>
    <w:rsid w:val="004B196D"/>
    <w:rsid w:val="004C29FB"/>
    <w:rsid w:val="005D0D75"/>
    <w:rsid w:val="00627A8E"/>
    <w:rsid w:val="007B6A51"/>
    <w:rsid w:val="00887CF5"/>
    <w:rsid w:val="00906DC5"/>
    <w:rsid w:val="009253F9"/>
    <w:rsid w:val="00963A91"/>
    <w:rsid w:val="00976D55"/>
    <w:rsid w:val="009D787A"/>
    <w:rsid w:val="00A90356"/>
    <w:rsid w:val="00A96023"/>
    <w:rsid w:val="00AA3248"/>
    <w:rsid w:val="00AE3C4D"/>
    <w:rsid w:val="00B35427"/>
    <w:rsid w:val="00B62E20"/>
    <w:rsid w:val="00B64F2D"/>
    <w:rsid w:val="00BA548E"/>
    <w:rsid w:val="00C04EE3"/>
    <w:rsid w:val="00CE2941"/>
    <w:rsid w:val="00E679D5"/>
    <w:rsid w:val="00E9441C"/>
    <w:rsid w:val="00EB4047"/>
    <w:rsid w:val="00F96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FFA4D2"/>
  <w15:chartTrackingRefBased/>
  <w15:docId w15:val="{D34ACEED-312C-4CF6-AAB9-4B4FC3ACE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40A69"/>
    <w:pPr>
      <w:spacing w:after="0" w:line="240" w:lineRule="auto"/>
    </w:pPr>
  </w:style>
  <w:style w:type="paragraph" w:styleId="Header">
    <w:name w:val="header"/>
    <w:basedOn w:val="Normal"/>
    <w:link w:val="HeaderChar"/>
    <w:uiPriority w:val="99"/>
    <w:unhideWhenUsed/>
    <w:rsid w:val="00EB40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047"/>
  </w:style>
  <w:style w:type="paragraph" w:styleId="Footer">
    <w:name w:val="footer"/>
    <w:basedOn w:val="Normal"/>
    <w:link w:val="FooterChar"/>
    <w:uiPriority w:val="99"/>
    <w:unhideWhenUsed/>
    <w:rsid w:val="00EB40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1295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Ballantyne</dc:creator>
  <cp:keywords/>
  <dc:description/>
  <cp:lastModifiedBy>Toni McEvoy</cp:lastModifiedBy>
  <cp:revision>3</cp:revision>
  <dcterms:created xsi:type="dcterms:W3CDTF">2024-12-23T08:50:00Z</dcterms:created>
  <dcterms:modified xsi:type="dcterms:W3CDTF">2025-01-17T13:41:00Z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443006edb8844e7cc981648473d053e2b052f6722e58c07e6171e141c3900e33</vt:lpwstr>
  </property>
</Properties>
</file>