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0DAF8" w14:textId="77777777" w:rsidR="006D7868" w:rsidRDefault="006D7868" w:rsidP="00682B05">
      <w:pPr>
        <w:spacing w:after="100" w:afterAutospacing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UBS </w:t>
      </w:r>
      <w:r w:rsidR="001349CD" w:rsidRPr="006D7868">
        <w:rPr>
          <w:b/>
          <w:sz w:val="28"/>
          <w:szCs w:val="28"/>
        </w:rPr>
        <w:t xml:space="preserve">AWERB </w:t>
      </w:r>
      <w:r w:rsidR="00FD3B8A" w:rsidRPr="006D7868">
        <w:rPr>
          <w:b/>
          <w:sz w:val="28"/>
          <w:szCs w:val="28"/>
        </w:rPr>
        <w:t>3Rs</w:t>
      </w:r>
      <w:r w:rsidR="001349CD" w:rsidRPr="006D78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Guidelines:</w:t>
      </w:r>
    </w:p>
    <w:p w14:paraId="2EDD1A83" w14:textId="77777777" w:rsidR="0017114D" w:rsidRDefault="006D7868" w:rsidP="00682B05">
      <w:pPr>
        <w:spacing w:after="100" w:afterAutospacing="1"/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="00CB3E32" w:rsidRPr="006D7868">
        <w:rPr>
          <w:b/>
          <w:sz w:val="28"/>
          <w:szCs w:val="28"/>
        </w:rPr>
        <w:t>he u</w:t>
      </w:r>
      <w:r w:rsidR="00682B05" w:rsidRPr="006D7868">
        <w:rPr>
          <w:b/>
          <w:sz w:val="28"/>
          <w:szCs w:val="28"/>
        </w:rPr>
        <w:t xml:space="preserve">se of </w:t>
      </w:r>
      <w:r w:rsidRPr="006D7868">
        <w:rPr>
          <w:b/>
          <w:sz w:val="28"/>
          <w:szCs w:val="28"/>
        </w:rPr>
        <w:t xml:space="preserve"> </w:t>
      </w:r>
      <w:r w:rsidRPr="006D7868">
        <w:rPr>
          <w:rStyle w:val="hgkelc"/>
          <w:b/>
          <w:color w:val="202124"/>
          <w:sz w:val="28"/>
          <w:szCs w:val="28"/>
        </w:rPr>
        <w:t>Freund's Complete Adjuvant (FCA or CFA) or Freund's Incomplete Adjuvant (</w:t>
      </w:r>
      <w:r w:rsidR="00CB3E32" w:rsidRPr="006D7868">
        <w:rPr>
          <w:b/>
          <w:sz w:val="28"/>
          <w:szCs w:val="28"/>
        </w:rPr>
        <w:t>IFA</w:t>
      </w:r>
      <w:r w:rsidRPr="006D7868">
        <w:rPr>
          <w:b/>
          <w:sz w:val="28"/>
          <w:szCs w:val="28"/>
        </w:rPr>
        <w:t xml:space="preserve"> or FIA)</w:t>
      </w:r>
    </w:p>
    <w:p w14:paraId="734EDE54" w14:textId="77777777" w:rsidR="00354CAB" w:rsidRPr="005714D1" w:rsidRDefault="00327E82" w:rsidP="005714D1">
      <w:r>
        <w:rPr>
          <w:b/>
        </w:rPr>
        <w:t xml:space="preserve">Introduction- </w:t>
      </w:r>
      <w:r w:rsidR="00D80E9E" w:rsidRPr="005714D1">
        <w:rPr>
          <w:b/>
        </w:rPr>
        <w:t xml:space="preserve">Animal </w:t>
      </w:r>
      <w:r w:rsidR="0055322A" w:rsidRPr="005714D1">
        <w:rPr>
          <w:b/>
        </w:rPr>
        <w:t>W</w:t>
      </w:r>
      <w:r w:rsidR="00D80E9E" w:rsidRPr="005714D1">
        <w:rPr>
          <w:b/>
        </w:rPr>
        <w:t>elfare and Refinement</w:t>
      </w:r>
      <w:r w:rsidR="00D80E9E" w:rsidRPr="005714D1">
        <w:t>-</w:t>
      </w:r>
      <w:r w:rsidR="0055322A" w:rsidRPr="005714D1">
        <w:t>T</w:t>
      </w:r>
      <w:r w:rsidR="00997815" w:rsidRPr="005714D1">
        <w:rPr>
          <w:color w:val="2A2A2A"/>
          <w:lang w:val="en"/>
        </w:rPr>
        <w:t xml:space="preserve">he use of FCA has been associated with a variety of lesions, including localized injection site granulomas. </w:t>
      </w:r>
      <w:r>
        <w:rPr>
          <w:color w:val="2A2A2A"/>
          <w:lang w:val="en"/>
        </w:rPr>
        <w:t>T</w:t>
      </w:r>
      <w:r w:rsidR="00997815" w:rsidRPr="005714D1">
        <w:rPr>
          <w:color w:val="2A2A2A"/>
          <w:lang w:val="en"/>
        </w:rPr>
        <w:t xml:space="preserve">he potential for pain and distress have resulted in numerous regulatory guidelines ( </w:t>
      </w:r>
      <w:hyperlink r:id="rId7" w:history="1">
        <w:r w:rsidR="00997815" w:rsidRPr="005714D1">
          <w:rPr>
            <w:rStyle w:val="Hyperlink"/>
            <w:lang w:val="en"/>
          </w:rPr>
          <w:t>CCAC 2002</w:t>
        </w:r>
      </w:hyperlink>
      <w:r w:rsidR="00997815" w:rsidRPr="005714D1">
        <w:rPr>
          <w:color w:val="2A2A2A"/>
          <w:lang w:val="en"/>
        </w:rPr>
        <w:t xml:space="preserve"> ; </w:t>
      </w:r>
      <w:hyperlink r:id="rId8" w:history="1">
        <w:r w:rsidR="00997815" w:rsidRPr="005714D1">
          <w:rPr>
            <w:rStyle w:val="Hyperlink"/>
            <w:lang w:val="en"/>
          </w:rPr>
          <w:t>Grumstrup-Scott and Greenhouse 1988</w:t>
        </w:r>
      </w:hyperlink>
      <w:r w:rsidR="00997815" w:rsidRPr="005714D1">
        <w:rPr>
          <w:color w:val="2A2A2A"/>
          <w:lang w:val="en"/>
        </w:rPr>
        <w:t xml:space="preserve"> ; </w:t>
      </w:r>
      <w:hyperlink r:id="rId9" w:history="1">
        <w:r w:rsidR="00997815" w:rsidRPr="005714D1">
          <w:rPr>
            <w:rStyle w:val="Hyperlink"/>
            <w:lang w:val="en"/>
          </w:rPr>
          <w:t>Leenaars et al. 1999</w:t>
        </w:r>
      </w:hyperlink>
      <w:r w:rsidR="00997815" w:rsidRPr="005714D1">
        <w:rPr>
          <w:color w:val="2A2A2A"/>
          <w:lang w:val="en"/>
        </w:rPr>
        <w:t xml:space="preserve"> ). </w:t>
      </w:r>
      <w:r w:rsidR="005714D1" w:rsidRPr="005714D1">
        <w:t xml:space="preserve">The purpose of these guidelines are to ensure </w:t>
      </w:r>
      <w:r w:rsidR="005714D1" w:rsidRPr="005714D1">
        <w:rPr>
          <w:lang w:val="en"/>
        </w:rPr>
        <w:t>consideration of the nature of the antigen</w:t>
      </w:r>
      <w:r>
        <w:rPr>
          <w:lang w:val="en"/>
        </w:rPr>
        <w:t xml:space="preserve"> and </w:t>
      </w:r>
      <w:r w:rsidR="005714D1" w:rsidRPr="005714D1">
        <w:rPr>
          <w:lang w:val="en"/>
        </w:rPr>
        <w:t>the host immune responsiveness</w:t>
      </w:r>
      <w:r>
        <w:rPr>
          <w:lang w:val="en"/>
        </w:rPr>
        <w:t xml:space="preserve"> for research</w:t>
      </w:r>
      <w:r w:rsidR="005714D1" w:rsidRPr="005714D1">
        <w:rPr>
          <w:lang w:val="en"/>
        </w:rPr>
        <w:t xml:space="preserve"> is balanced against </w:t>
      </w:r>
      <w:r w:rsidR="00D80E9E" w:rsidRPr="005714D1">
        <w:rPr>
          <w:lang w:val="en"/>
        </w:rPr>
        <w:t>the extent of inflammation, necrosis, and potential pain and distress</w:t>
      </w:r>
      <w:r w:rsidR="005714D1" w:rsidRPr="005714D1">
        <w:rPr>
          <w:lang w:val="en"/>
        </w:rPr>
        <w:t xml:space="preserve"> to the animal.</w:t>
      </w:r>
    </w:p>
    <w:p w14:paraId="33B430B1" w14:textId="77777777" w:rsidR="005714D1" w:rsidRPr="005714D1" w:rsidRDefault="005714D1" w:rsidP="005714D1">
      <w:pPr>
        <w:pStyle w:val="ListParagraph"/>
        <w:spacing w:after="0" w:line="240" w:lineRule="auto"/>
        <w:rPr>
          <w:rFonts w:ascii="Arial" w:hAnsi="Arial" w:cs="Arial"/>
        </w:rPr>
      </w:pPr>
    </w:p>
    <w:p w14:paraId="22BCD563" w14:textId="77777777" w:rsidR="00D80E9E" w:rsidRPr="00AA3C4C" w:rsidRDefault="00D80E9E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lang w:eastAsia="en-GB"/>
        </w:rPr>
      </w:pPr>
      <w:r w:rsidRPr="0055322A">
        <w:rPr>
          <w:rFonts w:ascii="Arial" w:hAnsi="Arial" w:cs="Arial"/>
          <w:b/>
          <w:lang w:eastAsia="en-GB"/>
        </w:rPr>
        <w:t>Preparation</w:t>
      </w:r>
      <w:r w:rsidRPr="00AA3C4C">
        <w:rPr>
          <w:rFonts w:ascii="Arial" w:hAnsi="Arial" w:cs="Arial"/>
          <w:lang w:eastAsia="en-GB"/>
        </w:rPr>
        <w:t xml:space="preserve">- changes in the paraffin oil used in commercially available IFA meant thick emulsion using the syringe-to-syringe technique is not possible. Follow a method published by Brand et al (paper attached) to make your own IFA/CFA and use a homogeniser, taking care not to generate heat to inactivate the collagen that had previously been dissolved in acetic acid. </w:t>
      </w:r>
    </w:p>
    <w:p w14:paraId="4152FDB3" w14:textId="77777777" w:rsidR="00354CAB" w:rsidRPr="00AA3C4C" w:rsidRDefault="00354CAB" w:rsidP="00354CAB">
      <w:pPr>
        <w:rPr>
          <w:lang w:eastAsia="en-GB"/>
        </w:rPr>
      </w:pPr>
    </w:p>
    <w:p w14:paraId="27DB817D" w14:textId="77777777" w:rsidR="00682B05" w:rsidRDefault="00FD22BA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55322A">
        <w:rPr>
          <w:rFonts w:ascii="Arial" w:hAnsi="Arial" w:cs="Arial"/>
          <w:b/>
        </w:rPr>
        <w:t>The volume</w:t>
      </w:r>
      <w:r w:rsidRPr="00D80E9E">
        <w:rPr>
          <w:rFonts w:ascii="Arial" w:hAnsi="Arial" w:cs="Arial"/>
        </w:rPr>
        <w:t xml:space="preserve"> – </w:t>
      </w:r>
      <w:r w:rsidR="00682B05" w:rsidRPr="00D80E9E">
        <w:rPr>
          <w:rFonts w:ascii="Arial" w:hAnsi="Arial" w:cs="Arial"/>
          <w:lang w:eastAsia="en-GB"/>
        </w:rPr>
        <w:t>50µl total volume per mouse</w:t>
      </w:r>
    </w:p>
    <w:p w14:paraId="2B035A80" w14:textId="77777777" w:rsidR="00354CAB" w:rsidRPr="00354CAB" w:rsidRDefault="00354CAB" w:rsidP="00354CAB"/>
    <w:p w14:paraId="3AB39BEB" w14:textId="77777777" w:rsidR="00682B05" w:rsidRDefault="00A36FB6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55322A">
        <w:rPr>
          <w:rFonts w:ascii="Arial" w:hAnsi="Arial" w:cs="Arial"/>
          <w:b/>
        </w:rPr>
        <w:t>The site</w:t>
      </w:r>
      <w:r w:rsidRPr="00D80E9E">
        <w:rPr>
          <w:rFonts w:ascii="Arial" w:hAnsi="Arial" w:cs="Arial"/>
        </w:rPr>
        <w:t xml:space="preserve"> – </w:t>
      </w:r>
      <w:r w:rsidR="00682B05" w:rsidRPr="00D80E9E">
        <w:rPr>
          <w:rFonts w:ascii="Arial" w:hAnsi="Arial" w:cs="Arial"/>
          <w:lang w:eastAsia="en-GB"/>
        </w:rPr>
        <w:t xml:space="preserve">injected </w:t>
      </w:r>
      <w:r w:rsidR="00CB3E32" w:rsidRPr="00D80E9E">
        <w:rPr>
          <w:rFonts w:ascii="Arial" w:hAnsi="Arial" w:cs="Arial"/>
          <w:lang w:eastAsia="en-GB"/>
        </w:rPr>
        <w:t xml:space="preserve">subcutaneously into the skin </w:t>
      </w:r>
      <w:r w:rsidR="00682B05" w:rsidRPr="00D80E9E">
        <w:rPr>
          <w:rFonts w:ascii="Arial" w:hAnsi="Arial" w:cs="Arial"/>
          <w:lang w:eastAsia="en-GB"/>
        </w:rPr>
        <w:t xml:space="preserve">just above the base of the tail (not the tail itself) </w:t>
      </w:r>
    </w:p>
    <w:p w14:paraId="177161C9" w14:textId="77777777" w:rsidR="00354CAB" w:rsidRPr="00354CAB" w:rsidRDefault="00354CAB" w:rsidP="00354CAB"/>
    <w:p w14:paraId="73C12692" w14:textId="77777777" w:rsidR="00682B05" w:rsidRDefault="00682B05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55322A">
        <w:rPr>
          <w:rFonts w:ascii="Arial" w:hAnsi="Arial" w:cs="Arial"/>
          <w:b/>
          <w:lang w:eastAsia="en-GB"/>
        </w:rPr>
        <w:t>Injection technique</w:t>
      </w:r>
      <w:r w:rsidRPr="00D80E9E">
        <w:rPr>
          <w:rFonts w:ascii="Arial" w:hAnsi="Arial" w:cs="Arial"/>
          <w:lang w:eastAsia="en-GB"/>
        </w:rPr>
        <w:t xml:space="preserve">- keep the needle in place for a few seconds, </w:t>
      </w:r>
      <w:r w:rsidR="00CB3E32" w:rsidRPr="00D80E9E">
        <w:rPr>
          <w:rFonts w:ascii="Arial" w:hAnsi="Arial" w:cs="Arial"/>
          <w:lang w:eastAsia="en-GB"/>
        </w:rPr>
        <w:t>for</w:t>
      </w:r>
      <w:r w:rsidRPr="00D80E9E">
        <w:rPr>
          <w:rFonts w:ascii="Arial" w:hAnsi="Arial" w:cs="Arial"/>
          <w:lang w:eastAsia="en-GB"/>
        </w:rPr>
        <w:t xml:space="preserve"> a bleb </w:t>
      </w:r>
      <w:r w:rsidR="00CB3E32" w:rsidRPr="00D80E9E">
        <w:rPr>
          <w:rFonts w:ascii="Arial" w:hAnsi="Arial" w:cs="Arial"/>
          <w:lang w:eastAsia="en-GB"/>
        </w:rPr>
        <w:t xml:space="preserve">to </w:t>
      </w:r>
      <w:r w:rsidRPr="00D80E9E">
        <w:rPr>
          <w:rFonts w:ascii="Arial" w:hAnsi="Arial" w:cs="Arial"/>
          <w:lang w:eastAsia="en-GB"/>
        </w:rPr>
        <w:t xml:space="preserve">appear, before withdrawing the needle. </w:t>
      </w:r>
    </w:p>
    <w:p w14:paraId="53F1A4FA" w14:textId="77777777" w:rsidR="00354CAB" w:rsidRPr="00354CAB" w:rsidRDefault="00354CAB" w:rsidP="00354CAB"/>
    <w:p w14:paraId="7852E10F" w14:textId="77777777" w:rsidR="00682B05" w:rsidRDefault="00682B05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55322A">
        <w:rPr>
          <w:rFonts w:ascii="Arial" w:hAnsi="Arial" w:cs="Arial"/>
          <w:b/>
          <w:lang w:eastAsia="en-GB"/>
        </w:rPr>
        <w:t>Injection</w:t>
      </w:r>
      <w:r w:rsidRPr="00D80E9E">
        <w:rPr>
          <w:rFonts w:ascii="Arial" w:hAnsi="Arial" w:cs="Arial"/>
          <w:lang w:eastAsia="en-GB"/>
        </w:rPr>
        <w:t>-use a small grey needle</w:t>
      </w:r>
      <w:r w:rsidR="00CB3E32" w:rsidRPr="00D80E9E">
        <w:rPr>
          <w:rFonts w:ascii="Arial" w:hAnsi="Arial" w:cs="Arial"/>
          <w:lang w:eastAsia="en-GB"/>
        </w:rPr>
        <w:t xml:space="preserve"> (27G) </w:t>
      </w:r>
      <w:r w:rsidRPr="00D80E9E">
        <w:rPr>
          <w:rFonts w:ascii="Arial" w:hAnsi="Arial" w:cs="Arial"/>
          <w:lang w:eastAsia="en-GB"/>
        </w:rPr>
        <w:t>connected to a 1 ml leur lock syringe</w:t>
      </w:r>
    </w:p>
    <w:p w14:paraId="1E90FF47" w14:textId="77777777" w:rsidR="00354CAB" w:rsidRPr="00354CAB" w:rsidRDefault="00354CAB" w:rsidP="00354CAB"/>
    <w:p w14:paraId="3B9DFFF7" w14:textId="77777777" w:rsidR="00682B05" w:rsidRDefault="00682B05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55322A">
        <w:rPr>
          <w:rFonts w:ascii="Arial" w:hAnsi="Arial" w:cs="Arial"/>
          <w:b/>
          <w:lang w:eastAsia="en-GB"/>
        </w:rPr>
        <w:t>Site preparation</w:t>
      </w:r>
      <w:r w:rsidRPr="00D80E9E">
        <w:rPr>
          <w:rFonts w:ascii="Arial" w:hAnsi="Arial" w:cs="Arial"/>
          <w:lang w:eastAsia="en-GB"/>
        </w:rPr>
        <w:t xml:space="preserve">-clip the fur </w:t>
      </w:r>
      <w:r w:rsidR="00CB3E32" w:rsidRPr="00D80E9E">
        <w:rPr>
          <w:rFonts w:ascii="Arial" w:hAnsi="Arial" w:cs="Arial"/>
          <w:lang w:eastAsia="en-GB"/>
        </w:rPr>
        <w:t>from</w:t>
      </w:r>
      <w:r w:rsidRPr="00D80E9E">
        <w:rPr>
          <w:rFonts w:ascii="Arial" w:hAnsi="Arial" w:cs="Arial"/>
          <w:lang w:eastAsia="en-GB"/>
        </w:rPr>
        <w:t xml:space="preserve"> the skin first and clean the area with an alcohol swab before injecting and mop up any leakage afterwards. </w:t>
      </w:r>
    </w:p>
    <w:p w14:paraId="377170E9" w14:textId="77777777" w:rsidR="00354CAB" w:rsidRPr="00354CAB" w:rsidRDefault="00354CAB" w:rsidP="00354CAB"/>
    <w:p w14:paraId="16056DBE" w14:textId="77777777" w:rsidR="00682B05" w:rsidRDefault="00682B05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55322A">
        <w:rPr>
          <w:rFonts w:ascii="Arial" w:hAnsi="Arial" w:cs="Arial"/>
          <w:b/>
          <w:lang w:eastAsia="en-GB"/>
        </w:rPr>
        <w:t>Anaesthesia</w:t>
      </w:r>
      <w:r w:rsidRPr="00D80E9E">
        <w:rPr>
          <w:rFonts w:ascii="Arial" w:hAnsi="Arial" w:cs="Arial"/>
          <w:lang w:eastAsia="en-GB"/>
        </w:rPr>
        <w:t>-use of isoflurane anaesthesia is advised to keep the mouse as still as possible</w:t>
      </w:r>
    </w:p>
    <w:p w14:paraId="694FD65B" w14:textId="77777777" w:rsidR="00354CAB" w:rsidRPr="00354CAB" w:rsidRDefault="00354CAB" w:rsidP="00354CAB"/>
    <w:p w14:paraId="36DF5413" w14:textId="77777777" w:rsidR="00682B05" w:rsidRPr="00D80E9E" w:rsidRDefault="00E25AC0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55322A">
        <w:rPr>
          <w:rFonts w:ascii="Arial" w:hAnsi="Arial" w:cs="Arial"/>
          <w:b/>
        </w:rPr>
        <w:t>The composition</w:t>
      </w:r>
      <w:r w:rsidRPr="00D80E9E">
        <w:rPr>
          <w:rFonts w:ascii="Arial" w:hAnsi="Arial" w:cs="Arial"/>
        </w:rPr>
        <w:t xml:space="preserve"> – </w:t>
      </w:r>
      <w:r w:rsidR="00682B05" w:rsidRPr="00D80E9E">
        <w:rPr>
          <w:rFonts w:ascii="Arial" w:hAnsi="Arial" w:cs="Arial"/>
          <w:lang w:eastAsia="en-GB"/>
        </w:rPr>
        <w:t xml:space="preserve">consistency of the </w:t>
      </w:r>
      <w:r w:rsidR="00CB3E32" w:rsidRPr="00D80E9E">
        <w:rPr>
          <w:rFonts w:ascii="Arial" w:hAnsi="Arial" w:cs="Arial"/>
          <w:lang w:eastAsia="en-GB"/>
        </w:rPr>
        <w:t>C</w:t>
      </w:r>
      <w:r w:rsidR="00682B05" w:rsidRPr="00D80E9E">
        <w:rPr>
          <w:rFonts w:ascii="Arial" w:hAnsi="Arial" w:cs="Arial"/>
          <w:lang w:eastAsia="en-GB"/>
        </w:rPr>
        <w:t>FA</w:t>
      </w:r>
      <w:r w:rsidR="00CB3E32" w:rsidRPr="00D80E9E">
        <w:rPr>
          <w:rFonts w:ascii="Arial" w:hAnsi="Arial" w:cs="Arial"/>
          <w:lang w:eastAsia="en-GB"/>
        </w:rPr>
        <w:t xml:space="preserve"> or IFA</w:t>
      </w:r>
      <w:r w:rsidR="00682B05" w:rsidRPr="00D80E9E">
        <w:rPr>
          <w:rFonts w:ascii="Arial" w:hAnsi="Arial" w:cs="Arial"/>
          <w:lang w:eastAsia="en-GB"/>
        </w:rPr>
        <w:t xml:space="preserve"> emulsion </w:t>
      </w:r>
      <w:r w:rsidR="00FA2C19" w:rsidRPr="00D80E9E">
        <w:rPr>
          <w:rFonts w:ascii="Arial" w:hAnsi="Arial" w:cs="Arial"/>
          <w:lang w:eastAsia="en-GB"/>
        </w:rPr>
        <w:t>is</w:t>
      </w:r>
      <w:r w:rsidR="00682B05" w:rsidRPr="00D80E9E">
        <w:rPr>
          <w:rFonts w:ascii="Arial" w:hAnsi="Arial" w:cs="Arial"/>
          <w:lang w:eastAsia="en-GB"/>
        </w:rPr>
        <w:t xml:space="preserve"> important</w:t>
      </w:r>
      <w:r w:rsidR="00682B05" w:rsidRPr="00D80E9E">
        <w:rPr>
          <w:rFonts w:ascii="Arial" w:hAnsi="Arial" w:cs="Arial"/>
        </w:rPr>
        <w:t xml:space="preserve"> </w:t>
      </w:r>
    </w:p>
    <w:p w14:paraId="30A92FC6" w14:textId="77777777" w:rsidR="00E25AC0" w:rsidRDefault="00CB3E32" w:rsidP="00354CAB">
      <w:pPr>
        <w:pStyle w:val="ListParagraph"/>
        <w:numPr>
          <w:ilvl w:val="1"/>
          <w:numId w:val="8"/>
        </w:numPr>
        <w:spacing w:after="0" w:line="240" w:lineRule="auto"/>
        <w:rPr>
          <w:rFonts w:ascii="Arial" w:hAnsi="Arial" w:cs="Arial"/>
        </w:rPr>
      </w:pPr>
      <w:r w:rsidRPr="00D80E9E">
        <w:rPr>
          <w:rFonts w:ascii="Arial" w:hAnsi="Arial" w:cs="Arial"/>
        </w:rPr>
        <w:t>C</w:t>
      </w:r>
      <w:r w:rsidR="00E25AC0" w:rsidRPr="00D80E9E">
        <w:rPr>
          <w:rFonts w:ascii="Arial" w:hAnsi="Arial" w:cs="Arial"/>
        </w:rPr>
        <w:t>ommercially</w:t>
      </w:r>
      <w:r w:rsidRPr="00D80E9E">
        <w:rPr>
          <w:rFonts w:ascii="Arial" w:hAnsi="Arial" w:cs="Arial"/>
        </w:rPr>
        <w:t xml:space="preserve"> made</w:t>
      </w:r>
      <w:r w:rsidR="00E25AC0" w:rsidRPr="00D80E9E">
        <w:rPr>
          <w:rFonts w:ascii="Arial" w:hAnsi="Arial" w:cs="Arial"/>
        </w:rPr>
        <w:t xml:space="preserve"> it is less viscous, so needs wiping away after needle</w:t>
      </w:r>
      <w:r w:rsidR="00634ECF" w:rsidRPr="00D80E9E">
        <w:rPr>
          <w:rFonts w:ascii="Arial" w:hAnsi="Arial" w:cs="Arial"/>
        </w:rPr>
        <w:t xml:space="preserve"> withdrawal</w:t>
      </w:r>
      <w:r w:rsidR="00816C5E" w:rsidRPr="00D80E9E">
        <w:rPr>
          <w:rFonts w:ascii="Arial" w:hAnsi="Arial" w:cs="Arial"/>
        </w:rPr>
        <w:t xml:space="preserve"> </w:t>
      </w:r>
      <w:r w:rsidR="00200123" w:rsidRPr="00D80E9E">
        <w:rPr>
          <w:rFonts w:ascii="Arial" w:hAnsi="Arial" w:cs="Arial"/>
        </w:rPr>
        <w:t xml:space="preserve">from the skin, </w:t>
      </w:r>
      <w:r w:rsidR="00816C5E" w:rsidRPr="00D80E9E">
        <w:rPr>
          <w:rFonts w:ascii="Arial" w:hAnsi="Arial" w:cs="Arial"/>
        </w:rPr>
        <w:t>a</w:t>
      </w:r>
      <w:r w:rsidR="00641440" w:rsidRPr="00D80E9E">
        <w:rPr>
          <w:rFonts w:ascii="Arial" w:hAnsi="Arial" w:cs="Arial"/>
        </w:rPr>
        <w:t>s</w:t>
      </w:r>
      <w:r w:rsidR="00200123" w:rsidRPr="00D80E9E">
        <w:rPr>
          <w:rFonts w:ascii="Arial" w:hAnsi="Arial" w:cs="Arial"/>
        </w:rPr>
        <w:t xml:space="preserve"> the</w:t>
      </w:r>
      <w:r w:rsidR="00816C5E" w:rsidRPr="00D80E9E">
        <w:rPr>
          <w:rFonts w:ascii="Arial" w:hAnsi="Arial" w:cs="Arial"/>
        </w:rPr>
        <w:t xml:space="preserve"> </w:t>
      </w:r>
      <w:r w:rsidR="00200123" w:rsidRPr="00D80E9E">
        <w:rPr>
          <w:rFonts w:ascii="Arial" w:hAnsi="Arial" w:cs="Arial"/>
        </w:rPr>
        <w:t xml:space="preserve">leakage </w:t>
      </w:r>
      <w:r w:rsidR="00816C5E" w:rsidRPr="00D80E9E">
        <w:rPr>
          <w:rFonts w:ascii="Arial" w:hAnsi="Arial" w:cs="Arial"/>
        </w:rPr>
        <w:t>causes ulceration</w:t>
      </w:r>
      <w:r w:rsidR="00634ECF" w:rsidRPr="00D80E9E">
        <w:rPr>
          <w:rFonts w:ascii="Arial" w:hAnsi="Arial" w:cs="Arial"/>
        </w:rPr>
        <w:t xml:space="preserve">. </w:t>
      </w:r>
    </w:p>
    <w:p w14:paraId="659A94B8" w14:textId="77777777" w:rsidR="00354CAB" w:rsidRPr="00354CAB" w:rsidRDefault="00354CAB" w:rsidP="00354CAB"/>
    <w:p w14:paraId="76485638" w14:textId="77777777" w:rsidR="00816C5E" w:rsidRDefault="00816C5E" w:rsidP="00354CAB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55322A">
        <w:rPr>
          <w:rFonts w:ascii="Arial" w:hAnsi="Arial" w:cs="Arial"/>
          <w:b/>
        </w:rPr>
        <w:t>The passing on of skills</w:t>
      </w:r>
      <w:r w:rsidRPr="00D80E9E">
        <w:rPr>
          <w:rFonts w:ascii="Arial" w:hAnsi="Arial" w:cs="Arial"/>
        </w:rPr>
        <w:t xml:space="preserve"> –</w:t>
      </w:r>
      <w:r w:rsidR="00641440" w:rsidRPr="00D80E9E">
        <w:rPr>
          <w:rFonts w:ascii="Arial" w:hAnsi="Arial" w:cs="Arial"/>
        </w:rPr>
        <w:t xml:space="preserve"> </w:t>
      </w:r>
      <w:r w:rsidR="00292AED" w:rsidRPr="00D80E9E">
        <w:rPr>
          <w:rFonts w:ascii="Arial" w:hAnsi="Arial" w:cs="Arial"/>
        </w:rPr>
        <w:t xml:space="preserve">SOPs, training and competency records and </w:t>
      </w:r>
      <w:r w:rsidR="00641440" w:rsidRPr="00D80E9E">
        <w:rPr>
          <w:rFonts w:ascii="Arial" w:hAnsi="Arial" w:cs="Arial"/>
        </w:rPr>
        <w:t xml:space="preserve">any other procedural </w:t>
      </w:r>
      <w:r w:rsidR="00773986" w:rsidRPr="00D80E9E">
        <w:rPr>
          <w:rFonts w:ascii="Arial" w:hAnsi="Arial" w:cs="Arial"/>
        </w:rPr>
        <w:t xml:space="preserve">documentation </w:t>
      </w:r>
      <w:r w:rsidR="00641440" w:rsidRPr="00D80E9E">
        <w:rPr>
          <w:rFonts w:ascii="Arial" w:hAnsi="Arial" w:cs="Arial"/>
        </w:rPr>
        <w:t xml:space="preserve">should be </w:t>
      </w:r>
      <w:r w:rsidR="005E7FFA" w:rsidRPr="00D80E9E">
        <w:rPr>
          <w:rFonts w:ascii="Arial" w:hAnsi="Arial" w:cs="Arial"/>
        </w:rPr>
        <w:t xml:space="preserve">regularly </w:t>
      </w:r>
      <w:r w:rsidR="00200123" w:rsidRPr="00D80E9E">
        <w:rPr>
          <w:rFonts w:ascii="Arial" w:hAnsi="Arial" w:cs="Arial"/>
        </w:rPr>
        <w:t>reviewed</w:t>
      </w:r>
      <w:r w:rsidR="00D80E9E" w:rsidRPr="00D80E9E">
        <w:rPr>
          <w:rFonts w:ascii="Arial" w:hAnsi="Arial" w:cs="Arial"/>
        </w:rPr>
        <w:t>. To ensure</w:t>
      </w:r>
      <w:r w:rsidR="00773986" w:rsidRPr="00D80E9E">
        <w:rPr>
          <w:rFonts w:ascii="Arial" w:hAnsi="Arial" w:cs="Arial"/>
        </w:rPr>
        <w:t xml:space="preserve"> that these skills</w:t>
      </w:r>
      <w:r w:rsidR="00752B83" w:rsidRPr="00D80E9E">
        <w:rPr>
          <w:rFonts w:ascii="Arial" w:hAnsi="Arial" w:cs="Arial"/>
        </w:rPr>
        <w:t xml:space="preserve"> </w:t>
      </w:r>
      <w:r w:rsidR="00520537" w:rsidRPr="00D80E9E">
        <w:rPr>
          <w:rFonts w:ascii="Arial" w:hAnsi="Arial" w:cs="Arial"/>
        </w:rPr>
        <w:t xml:space="preserve">and learning points </w:t>
      </w:r>
      <w:r w:rsidR="00752B83" w:rsidRPr="00D80E9E">
        <w:rPr>
          <w:rFonts w:ascii="Arial" w:hAnsi="Arial" w:cs="Arial"/>
        </w:rPr>
        <w:t>are</w:t>
      </w:r>
      <w:r w:rsidR="00773986" w:rsidRPr="00D80E9E">
        <w:rPr>
          <w:rFonts w:ascii="Arial" w:hAnsi="Arial" w:cs="Arial"/>
        </w:rPr>
        <w:t xml:space="preserve"> transfer</w:t>
      </w:r>
      <w:r w:rsidR="00752B83" w:rsidRPr="00D80E9E">
        <w:rPr>
          <w:rFonts w:ascii="Arial" w:hAnsi="Arial" w:cs="Arial"/>
        </w:rPr>
        <w:t>red</w:t>
      </w:r>
      <w:r w:rsidR="00773986" w:rsidRPr="00D80E9E">
        <w:rPr>
          <w:rFonts w:ascii="Arial" w:hAnsi="Arial" w:cs="Arial"/>
        </w:rPr>
        <w:t xml:space="preserve"> through the team</w:t>
      </w:r>
      <w:r w:rsidR="005E7FFA" w:rsidRPr="00D80E9E">
        <w:rPr>
          <w:rFonts w:ascii="Arial" w:hAnsi="Arial" w:cs="Arial"/>
        </w:rPr>
        <w:t xml:space="preserve"> across the years.</w:t>
      </w:r>
    </w:p>
    <w:p w14:paraId="50209A74" w14:textId="77777777" w:rsidR="00343F3A" w:rsidRDefault="00343F3A" w:rsidP="00343F3A">
      <w:pPr>
        <w:pStyle w:val="ListParagraph"/>
        <w:spacing w:after="0" w:line="240" w:lineRule="auto"/>
        <w:rPr>
          <w:rFonts w:ascii="Arial" w:hAnsi="Arial" w:cs="Arial"/>
        </w:rPr>
      </w:pPr>
    </w:p>
    <w:p w14:paraId="0DD23494" w14:textId="621CF801" w:rsidR="00343F3A" w:rsidRPr="00C016B7" w:rsidRDefault="00343F3A" w:rsidP="00343F3A">
      <w:pPr>
        <w:pStyle w:val="PlainText"/>
        <w:rPr>
          <w:rFonts w:ascii="Arial" w:hAnsi="Arial" w:cs="Arial"/>
        </w:rPr>
      </w:pPr>
      <w:r w:rsidRPr="00C016B7">
        <w:rPr>
          <w:rFonts w:ascii="Arial" w:hAnsi="Arial" w:cs="Arial"/>
          <w:b/>
        </w:rPr>
        <w:t>AWERB Statement</w:t>
      </w:r>
      <w:r w:rsidRPr="00C016B7">
        <w:rPr>
          <w:rFonts w:ascii="Arial" w:hAnsi="Arial" w:cs="Arial"/>
        </w:rPr>
        <w:t>- The use of adjuvants such as Complete Freund’s requires special care and consideration of their inflammatory properties. Volumes and frequencies are normally specified in a PPL, but as an example, in mice, &lt;0.</w:t>
      </w:r>
      <w:r w:rsidR="00811B11">
        <w:rPr>
          <w:rFonts w:ascii="Arial" w:hAnsi="Arial" w:cs="Arial"/>
        </w:rPr>
        <w:t>05</w:t>
      </w:r>
      <w:bookmarkStart w:id="0" w:name="_GoBack"/>
      <w:bookmarkEnd w:id="0"/>
      <w:r w:rsidRPr="00C016B7">
        <w:rPr>
          <w:rFonts w:ascii="Arial" w:hAnsi="Arial" w:cs="Arial"/>
        </w:rPr>
        <w:t xml:space="preserve"> ml at each of 2 sites will be used. Injections of Complete Freund’s should be confined to the priming step and the s/c route to prevent granuloma formation.</w:t>
      </w:r>
    </w:p>
    <w:p w14:paraId="5437BC79" w14:textId="77777777" w:rsidR="00343F3A" w:rsidRPr="00D80E9E" w:rsidRDefault="00343F3A" w:rsidP="00343F3A">
      <w:pPr>
        <w:pStyle w:val="ListParagraph"/>
        <w:spacing w:after="0" w:line="240" w:lineRule="auto"/>
        <w:rPr>
          <w:rFonts w:ascii="Arial" w:hAnsi="Arial" w:cs="Arial"/>
        </w:rPr>
      </w:pPr>
    </w:p>
    <w:p w14:paraId="79465C53" w14:textId="77777777" w:rsidR="00C97495" w:rsidRPr="00D80E9E" w:rsidRDefault="002556BE" w:rsidP="00C97495">
      <w:pPr>
        <w:pStyle w:val="ListParagraph"/>
        <w:rPr>
          <w:rFonts w:ascii="Arial" w:hAnsi="Arial" w:cs="Arial"/>
          <w:lang w:eastAsia="en-GB"/>
        </w:rPr>
      </w:pPr>
      <w:r w:rsidRPr="00D80E9E">
        <w:rPr>
          <w:rFonts w:ascii="Arial" w:hAnsi="Arial" w:cs="Arial"/>
        </w:rPr>
        <w:object w:dxaOrig="1537" w:dyaOrig="997" w14:anchorId="783D1D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75pt;height:49.85pt" o:ole="">
            <v:imagedata r:id="rId10" o:title=""/>
          </v:shape>
          <o:OLEObject Type="Embed" ProgID="AcroExch.Document.DC" ShapeID="_x0000_i1025" DrawAspect="Icon" ObjectID="_1687239053" r:id="rId11"/>
        </w:object>
      </w:r>
    </w:p>
    <w:p w14:paraId="1B50CB59" w14:textId="77777777" w:rsidR="001F578E" w:rsidRDefault="000D5CE2" w:rsidP="00851F65">
      <w:pPr>
        <w:spacing w:after="100" w:afterAutospacing="1"/>
      </w:pPr>
      <w:r w:rsidRPr="00D80E9E">
        <w:t>.</w:t>
      </w:r>
      <w:r w:rsidR="00682B05" w:rsidRPr="00D80E9E">
        <w:t xml:space="preserve"> </w:t>
      </w:r>
    </w:p>
    <w:p w14:paraId="6175DA24" w14:textId="48EC518C" w:rsidR="00997815" w:rsidRDefault="00997815" w:rsidP="00811B11">
      <w:pPr>
        <w:rPr>
          <w:rFonts w:ascii="Arial-BoldMT" w:hAnsi="Arial-BoldMT" w:cs="Arial-BoldMT"/>
          <w:b/>
          <w:bCs/>
          <w:sz w:val="28"/>
          <w:szCs w:val="28"/>
        </w:rPr>
      </w:pPr>
      <w:r>
        <w:br w:type="page"/>
      </w:r>
      <w:r w:rsidR="002556BE">
        <w:rPr>
          <w:rFonts w:ascii="Arial-BoldMT" w:hAnsi="Arial-BoldMT" w:cs="Arial-BoldMT"/>
          <w:b/>
          <w:bCs/>
          <w:sz w:val="28"/>
          <w:szCs w:val="28"/>
        </w:rPr>
        <w:lastRenderedPageBreak/>
        <w:t xml:space="preserve"> </w:t>
      </w:r>
      <w:r>
        <w:rPr>
          <w:rFonts w:ascii="Arial-BoldMT" w:hAnsi="Arial-BoldMT" w:cs="Arial-BoldMT"/>
          <w:b/>
          <w:bCs/>
          <w:sz w:val="28"/>
          <w:szCs w:val="28"/>
        </w:rPr>
        <w:t>APPENDIX A</w:t>
      </w:r>
      <w:r w:rsidR="002556BE">
        <w:rPr>
          <w:rFonts w:ascii="Arial-BoldMT" w:hAnsi="Arial-BoldMT" w:cs="Arial-BoldMT"/>
          <w:b/>
          <w:bCs/>
          <w:sz w:val="28"/>
          <w:szCs w:val="28"/>
        </w:rPr>
        <w:t xml:space="preserve">- </w:t>
      </w:r>
      <w:r>
        <w:rPr>
          <w:rFonts w:ascii="Arial-BoldMT" w:hAnsi="Arial-BoldMT" w:cs="Arial-BoldMT"/>
          <w:b/>
          <w:bCs/>
          <w:sz w:val="28"/>
          <w:szCs w:val="28"/>
        </w:rPr>
        <w:t xml:space="preserve">COMMON </w:t>
      </w:r>
      <w:r w:rsidR="002556BE">
        <w:rPr>
          <w:rFonts w:ascii="Arial-BoldMT" w:hAnsi="Arial-BoldMT" w:cs="Arial-BoldMT"/>
          <w:b/>
          <w:bCs/>
          <w:sz w:val="28"/>
          <w:szCs w:val="28"/>
        </w:rPr>
        <w:t xml:space="preserve">ADVUVANTS </w:t>
      </w:r>
      <w:hyperlink r:id="rId12" w:history="1">
        <w:r w:rsidR="002556BE" w:rsidRPr="006214B3">
          <w:rPr>
            <w:rStyle w:val="Hyperlink"/>
            <w:rFonts w:ascii="Arial-BoldMT" w:hAnsi="Arial-BoldMT" w:cs="Arial-BoldMT"/>
            <w:b/>
            <w:bCs/>
            <w:sz w:val="28"/>
            <w:szCs w:val="28"/>
          </w:rPr>
          <w:t>https://ccac.ca/Documents/Standards/Guidelines/Antibody_production.pdf</w:t>
        </w:r>
      </w:hyperlink>
    </w:p>
    <w:p w14:paraId="013E835B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t>This is a list of the more commonly-used</w:t>
      </w:r>
      <w:r w:rsidR="00686AF3" w:rsidRPr="00686AF3">
        <w:t xml:space="preserve"> </w:t>
      </w:r>
      <w:r w:rsidRPr="00686AF3">
        <w:t>adjuvants and their basic properties. It</w:t>
      </w:r>
      <w:r w:rsidR="00686AF3" w:rsidRPr="00686AF3">
        <w:t xml:space="preserve"> </w:t>
      </w:r>
      <w:r w:rsidRPr="00686AF3">
        <w:t>is not an endorsement of any specific</w:t>
      </w:r>
      <w:r w:rsidR="00686AF3" w:rsidRPr="00686AF3">
        <w:t xml:space="preserve"> </w:t>
      </w:r>
      <w:r w:rsidRPr="00686AF3">
        <w:t>product.</w:t>
      </w:r>
    </w:p>
    <w:p w14:paraId="5641D93A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rPr>
          <w:b/>
          <w:bCs/>
        </w:rPr>
        <w:t xml:space="preserve">Freund’s Complete Adjuvant (FCA) </w:t>
      </w:r>
      <w:r w:rsidRPr="00686AF3">
        <w:t>is a</w:t>
      </w:r>
      <w:r w:rsidR="00686AF3" w:rsidRPr="00686AF3">
        <w:t xml:space="preserve"> </w:t>
      </w:r>
      <w:r w:rsidRPr="00686AF3">
        <w:t>water-in-oil emulsion of mineral oil, mannide</w:t>
      </w:r>
      <w:r w:rsidR="00686AF3" w:rsidRPr="00686AF3">
        <w:t xml:space="preserve"> </w:t>
      </w:r>
      <w:r w:rsidRPr="00686AF3">
        <w:t xml:space="preserve">mono-oleate, and heat-killed </w:t>
      </w:r>
      <w:r w:rsidRPr="00686AF3">
        <w:rPr>
          <w:i/>
          <w:iCs/>
        </w:rPr>
        <w:t>Mycobacterium</w:t>
      </w:r>
      <w:r w:rsidR="00686AF3" w:rsidRPr="00686AF3">
        <w:rPr>
          <w:i/>
          <w:iCs/>
        </w:rPr>
        <w:t xml:space="preserve"> </w:t>
      </w:r>
      <w:r w:rsidRPr="00686AF3">
        <w:rPr>
          <w:i/>
          <w:iCs/>
        </w:rPr>
        <w:t xml:space="preserve">tuberculosis </w:t>
      </w:r>
      <w:r w:rsidRPr="00686AF3">
        <w:t xml:space="preserve">(or </w:t>
      </w:r>
      <w:r w:rsidRPr="00686AF3">
        <w:rPr>
          <w:i/>
          <w:iCs/>
        </w:rPr>
        <w:t>M. butyricum</w:t>
      </w:r>
      <w:r w:rsidRPr="00686AF3">
        <w:t>) or</w:t>
      </w:r>
      <w:r w:rsidR="00686AF3" w:rsidRPr="00686AF3">
        <w:t xml:space="preserve"> </w:t>
      </w:r>
      <w:r w:rsidRPr="00686AF3">
        <w:t>components of the organism. FCA is a</w:t>
      </w:r>
      <w:r w:rsidR="00686AF3" w:rsidRPr="00686AF3">
        <w:t xml:space="preserve"> </w:t>
      </w:r>
      <w:r w:rsidRPr="00686AF3">
        <w:t>potent adjuvant that stimulates both</w:t>
      </w:r>
      <w:r w:rsidR="00686AF3" w:rsidRPr="00686AF3">
        <w:t xml:space="preserve"> </w:t>
      </w:r>
      <w:r w:rsidRPr="00686AF3">
        <w:t>humoral and cell-mediated immunity. FCA</w:t>
      </w:r>
      <w:r w:rsidR="00686AF3" w:rsidRPr="00686AF3">
        <w:t xml:space="preserve"> </w:t>
      </w:r>
      <w:r w:rsidRPr="00686AF3">
        <w:t>is often strongly reactive as the mineral</w:t>
      </w:r>
      <w:r w:rsidR="00686AF3" w:rsidRPr="00686AF3">
        <w:t xml:space="preserve"> </w:t>
      </w:r>
      <w:r w:rsidRPr="00686AF3">
        <w:t>oil cannot be metabolized and the mycobacterial</w:t>
      </w:r>
      <w:r w:rsidR="00686AF3" w:rsidRPr="00686AF3">
        <w:t xml:space="preserve"> </w:t>
      </w:r>
      <w:r w:rsidRPr="00686AF3">
        <w:t>components can elicit severe granulomatous</w:t>
      </w:r>
      <w:r w:rsidR="00686AF3">
        <w:t xml:space="preserve"> </w:t>
      </w:r>
      <w:r w:rsidRPr="00686AF3">
        <w:t>(inflammatory) reactions. The</w:t>
      </w:r>
      <w:r w:rsidR="00686AF3" w:rsidRPr="00686AF3">
        <w:t xml:space="preserve"> </w:t>
      </w:r>
      <w:r w:rsidRPr="00686AF3">
        <w:t>concentration of mycobacteria varies greatly</w:t>
      </w:r>
      <w:r w:rsidR="00686AF3" w:rsidRPr="00686AF3">
        <w:t xml:space="preserve"> </w:t>
      </w:r>
      <w:r w:rsidRPr="00686AF3">
        <w:t>among commercial preparations of FCA. In</w:t>
      </w:r>
      <w:r w:rsidR="00686AF3" w:rsidRPr="00686AF3">
        <w:t xml:space="preserve"> </w:t>
      </w:r>
      <w:r w:rsidRPr="00686AF3">
        <w:t>this regard, it should be noted that if the</w:t>
      </w:r>
      <w:r w:rsidR="00686AF3" w:rsidRPr="00686AF3">
        <w:t xml:space="preserve"> </w:t>
      </w:r>
      <w:r w:rsidRPr="00686AF3">
        <w:t>concentration of mycobacteria is less than</w:t>
      </w:r>
      <w:r w:rsidR="00686AF3" w:rsidRPr="00686AF3">
        <w:t xml:space="preserve"> </w:t>
      </w:r>
      <w:r w:rsidRPr="00686AF3">
        <w:t>0.5mg/ml (0.1mg/ml in Broderson [1989]),</w:t>
      </w:r>
      <w:r w:rsidR="00686AF3" w:rsidRPr="00686AF3">
        <w:t xml:space="preserve"> </w:t>
      </w:r>
      <w:r w:rsidRPr="00686AF3">
        <w:t>less severe inflammatory reactions result.</w:t>
      </w:r>
    </w:p>
    <w:p w14:paraId="3737757E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rPr>
          <w:b/>
          <w:bCs/>
        </w:rPr>
        <w:t xml:space="preserve">Freund’s Incomplete Adjuvant (FIA) </w:t>
      </w:r>
      <w:r w:rsidRPr="00686AF3">
        <w:t>is the</w:t>
      </w:r>
      <w:r w:rsidR="00686AF3" w:rsidRPr="00686AF3">
        <w:t xml:space="preserve"> </w:t>
      </w:r>
      <w:r w:rsidRPr="00686AF3">
        <w:t>same as FCA minus the mycobacterial cells</w:t>
      </w:r>
      <w:r w:rsidR="00686AF3" w:rsidRPr="00686AF3">
        <w:t xml:space="preserve"> </w:t>
      </w:r>
      <w:r w:rsidRPr="00686AF3">
        <w:t xml:space="preserve">or cellular </w:t>
      </w:r>
      <w:r w:rsidR="00686AF3" w:rsidRPr="00686AF3">
        <w:t xml:space="preserve"> </w:t>
      </w:r>
      <w:r w:rsidRPr="00686AF3">
        <w:t>components. FIA is less effective</w:t>
      </w:r>
      <w:r w:rsidR="00686AF3" w:rsidRPr="00686AF3">
        <w:t xml:space="preserve"> </w:t>
      </w:r>
      <w:r w:rsidRPr="00686AF3">
        <w:t>than FCA for inducing high antibody titres</w:t>
      </w:r>
      <w:r w:rsidR="00686AF3" w:rsidRPr="00686AF3">
        <w:t xml:space="preserve"> </w:t>
      </w:r>
      <w:r w:rsidRPr="00686AF3">
        <w:t>and enhancing cell-mediated immunity.</w:t>
      </w:r>
    </w:p>
    <w:p w14:paraId="65A32588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rPr>
          <w:b/>
          <w:bCs/>
        </w:rPr>
        <w:t>Ribi</w:t>
      </w:r>
      <w:r w:rsidR="00327E82">
        <w:rPr>
          <w:b/>
          <w:bCs/>
        </w:rPr>
        <w:t>™</w:t>
      </w:r>
      <w:r w:rsidRPr="00686AF3">
        <w:rPr>
          <w:b/>
          <w:bCs/>
        </w:rPr>
        <w:t xml:space="preserve"> Adjuvants </w:t>
      </w:r>
      <w:r w:rsidRPr="00686AF3">
        <w:t>are oil-in-water emulsions</w:t>
      </w:r>
      <w:r w:rsidR="00686AF3" w:rsidRPr="00686AF3">
        <w:t xml:space="preserve"> </w:t>
      </w:r>
      <w:r w:rsidRPr="00686AF3">
        <w:t>in which the antigen is blended with a</w:t>
      </w:r>
      <w:r w:rsidR="00686AF3" w:rsidRPr="00686AF3">
        <w:t xml:space="preserve"> </w:t>
      </w:r>
      <w:r w:rsidRPr="00686AF3">
        <w:t>minimal volume of oil and then emulsified in</w:t>
      </w:r>
      <w:r w:rsidR="00686AF3" w:rsidRPr="00686AF3">
        <w:t xml:space="preserve"> </w:t>
      </w:r>
      <w:r w:rsidRPr="00686AF3">
        <w:t>a saline solution containing the surfactant</w:t>
      </w:r>
      <w:r w:rsidR="00686AF3" w:rsidRPr="00686AF3">
        <w:t xml:space="preserve"> </w:t>
      </w:r>
      <w:r w:rsidRPr="00686AF3">
        <w:t xml:space="preserve">Tween 80 (Ribi, </w:t>
      </w:r>
      <w:r w:rsidRPr="00686AF3">
        <w:rPr>
          <w:i/>
          <w:iCs/>
        </w:rPr>
        <w:t>et al.</w:t>
      </w:r>
      <w:r w:rsidRPr="00686AF3">
        <w:t>, 1975). Although</w:t>
      </w:r>
      <w:r w:rsidR="00686AF3" w:rsidRPr="00686AF3">
        <w:t xml:space="preserve"> </w:t>
      </w:r>
      <w:r w:rsidRPr="00686AF3">
        <w:t>oil-in-water emulsions are less viscous and</w:t>
      </w:r>
      <w:r w:rsidR="00686AF3" w:rsidRPr="00686AF3">
        <w:t xml:space="preserve"> </w:t>
      </w:r>
      <w:r w:rsidRPr="00686AF3">
        <w:t>easier to inject than water-in-oil emulsions,</w:t>
      </w:r>
      <w:r w:rsidR="00686AF3" w:rsidRPr="00686AF3">
        <w:t xml:space="preserve"> </w:t>
      </w:r>
      <w:r w:rsidRPr="00686AF3">
        <w:t>they are poor adjuvants alone, requiring</w:t>
      </w:r>
      <w:r w:rsidR="00686AF3" w:rsidRPr="00686AF3">
        <w:t xml:space="preserve"> </w:t>
      </w:r>
      <w:r w:rsidRPr="00686AF3">
        <w:t>immunostimulants to increase the immunogenicity.</w:t>
      </w:r>
      <w:r w:rsidR="00686AF3" w:rsidRPr="00686AF3">
        <w:t xml:space="preserve"> </w:t>
      </w:r>
      <w:r w:rsidRPr="00686AF3">
        <w:t>The immunostimulants used in the</w:t>
      </w:r>
      <w:r w:rsidR="00686AF3" w:rsidRPr="00686AF3">
        <w:t xml:space="preserve"> </w:t>
      </w:r>
      <w:r w:rsidRPr="00686AF3">
        <w:t>Ribi</w:t>
      </w:r>
      <w:r w:rsidR="00327E82">
        <w:rPr>
          <w:b/>
          <w:bCs/>
        </w:rPr>
        <w:t>™</w:t>
      </w:r>
      <w:r w:rsidRPr="00686AF3">
        <w:rPr>
          <w:b/>
          <w:bCs/>
        </w:rPr>
        <w:t xml:space="preserve"> </w:t>
      </w:r>
      <w:r w:rsidRPr="00686AF3">
        <w:t>system include two refined mycobacterial</w:t>
      </w:r>
      <w:r w:rsidR="00686AF3" w:rsidRPr="00686AF3">
        <w:t xml:space="preserve"> </w:t>
      </w:r>
      <w:r w:rsidRPr="00686AF3">
        <w:t>products (trehalose 6,6'-dimycolate</w:t>
      </w:r>
      <w:r w:rsidR="00686AF3" w:rsidRPr="00686AF3">
        <w:t xml:space="preserve"> </w:t>
      </w:r>
      <w:r w:rsidRPr="00686AF3">
        <w:t>and cell wall skeleton) and a purified gramnegative</w:t>
      </w:r>
      <w:r w:rsidR="00686AF3" w:rsidRPr="00686AF3">
        <w:t xml:space="preserve"> </w:t>
      </w:r>
      <w:r w:rsidRPr="00686AF3">
        <w:t>bacterial product (monophosphoryl</w:t>
      </w:r>
      <w:r w:rsidR="00686AF3" w:rsidRPr="00686AF3">
        <w:t xml:space="preserve"> </w:t>
      </w:r>
      <w:r w:rsidRPr="00686AF3">
        <w:t>lipid A). For a further explanation of</w:t>
      </w:r>
      <w:r w:rsidR="00686AF3" w:rsidRPr="00686AF3">
        <w:t xml:space="preserve"> </w:t>
      </w:r>
      <w:r w:rsidRPr="00686AF3">
        <w:t>the biological activities of Ribi</w:t>
      </w:r>
      <w:r w:rsidR="00327E82">
        <w:rPr>
          <w:b/>
          <w:bCs/>
        </w:rPr>
        <w:t>™</w:t>
      </w:r>
      <w:r w:rsidRPr="00686AF3">
        <w:rPr>
          <w:b/>
          <w:bCs/>
        </w:rPr>
        <w:t xml:space="preserve"> </w:t>
      </w:r>
      <w:r w:rsidRPr="00686AF3">
        <w:t>adjuvants</w:t>
      </w:r>
      <w:r w:rsidR="00686AF3" w:rsidRPr="00686AF3">
        <w:t xml:space="preserve"> </w:t>
      </w:r>
      <w:r w:rsidRPr="00686AF3">
        <w:t>see Jennings (1995). Ribi</w:t>
      </w:r>
      <w:r w:rsidR="00327E82">
        <w:rPr>
          <w:b/>
          <w:bCs/>
        </w:rPr>
        <w:t>™</w:t>
      </w:r>
      <w:r w:rsidRPr="00686AF3">
        <w:rPr>
          <w:b/>
          <w:bCs/>
        </w:rPr>
        <w:t xml:space="preserve"> </w:t>
      </w:r>
      <w:r w:rsidRPr="00686AF3">
        <w:t>adjuvants are</w:t>
      </w:r>
      <w:r w:rsidR="00686AF3" w:rsidRPr="00686AF3">
        <w:t xml:space="preserve"> </w:t>
      </w:r>
      <w:r w:rsidRPr="00686AF3">
        <w:t>usually less potent than FCA, but they are</w:t>
      </w:r>
      <w:r w:rsidR="00686AF3" w:rsidRPr="00686AF3">
        <w:t xml:space="preserve"> </w:t>
      </w:r>
      <w:r w:rsidRPr="00686AF3">
        <w:t>also less toxic and have provided satisfactory</w:t>
      </w:r>
      <w:r w:rsidR="00686AF3" w:rsidRPr="00686AF3">
        <w:t xml:space="preserve"> </w:t>
      </w:r>
      <w:r w:rsidRPr="00686AF3">
        <w:t>adjuvant activity for many purposes.</w:t>
      </w:r>
    </w:p>
    <w:p w14:paraId="3EE3CC8A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rPr>
          <w:b/>
          <w:bCs/>
        </w:rPr>
        <w:t xml:space="preserve">Monophosphoryl lipid A </w:t>
      </w:r>
      <w:r w:rsidRPr="00686AF3">
        <w:t>(one of the</w:t>
      </w:r>
      <w:r w:rsidR="00686AF3" w:rsidRPr="00686AF3">
        <w:t xml:space="preserve"> </w:t>
      </w:r>
      <w:r w:rsidRPr="00686AF3">
        <w:t>components of the Ribi</w:t>
      </w:r>
      <w:r w:rsidR="00327E82">
        <w:rPr>
          <w:b/>
          <w:bCs/>
        </w:rPr>
        <w:t>™</w:t>
      </w:r>
      <w:r w:rsidRPr="00686AF3">
        <w:t>system) is by</w:t>
      </w:r>
      <w:r w:rsidR="00686AF3" w:rsidRPr="00686AF3">
        <w:t xml:space="preserve"> </w:t>
      </w:r>
      <w:r w:rsidRPr="00686AF3">
        <w:t>itself a potential adjuvant option. As with</w:t>
      </w:r>
      <w:r w:rsidR="00686AF3" w:rsidRPr="00686AF3">
        <w:t xml:space="preserve"> </w:t>
      </w:r>
      <w:r w:rsidRPr="00686AF3">
        <w:t>aluminum hydroxide, the safety profile</w:t>
      </w:r>
      <w:r w:rsidR="00686AF3" w:rsidRPr="00686AF3">
        <w:t xml:space="preserve"> </w:t>
      </w:r>
      <w:r w:rsidRPr="00686AF3">
        <w:t>of MPL is well documented and provides</w:t>
      </w:r>
      <w:r w:rsidR="00686AF3" w:rsidRPr="00686AF3">
        <w:t xml:space="preserve"> </w:t>
      </w:r>
      <w:r w:rsidRPr="00686AF3">
        <w:t>excellent adjuvant activity for some</w:t>
      </w:r>
      <w:r w:rsidR="00686AF3" w:rsidRPr="00686AF3">
        <w:t xml:space="preserve"> </w:t>
      </w:r>
      <w:r w:rsidRPr="00686AF3">
        <w:t>immunogens.</w:t>
      </w:r>
    </w:p>
    <w:p w14:paraId="442AA6D2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rPr>
          <w:b/>
          <w:bCs/>
        </w:rPr>
        <w:t>TiterMax</w:t>
      </w:r>
      <w:r w:rsidR="00327E82">
        <w:rPr>
          <w:b/>
          <w:bCs/>
        </w:rPr>
        <w:t>™</w:t>
      </w:r>
      <w:r w:rsidRPr="00686AF3">
        <w:rPr>
          <w:b/>
          <w:bCs/>
        </w:rPr>
        <w:t xml:space="preserve"> Adjuvant </w:t>
      </w:r>
      <w:r w:rsidRPr="00686AF3">
        <w:t>relies on a microparticulate</w:t>
      </w:r>
      <w:r w:rsidR="00686AF3" w:rsidRPr="00686AF3">
        <w:t xml:space="preserve"> </w:t>
      </w:r>
      <w:r w:rsidRPr="00686AF3">
        <w:t>water-in-oil emulsion formed with</w:t>
      </w:r>
      <w:r w:rsidR="00686AF3" w:rsidRPr="00686AF3">
        <w:t xml:space="preserve"> </w:t>
      </w:r>
      <w:r w:rsidRPr="00686AF3">
        <w:t>a non-ionic block copolymer (CRL-8941)</w:t>
      </w:r>
      <w:r w:rsidR="00686AF3" w:rsidRPr="00686AF3">
        <w:t xml:space="preserve"> </w:t>
      </w:r>
      <w:r w:rsidRPr="00686AF3">
        <w:t>and squalene, a metabolizable oil. CRL-</w:t>
      </w:r>
      <w:r w:rsidR="00686AF3" w:rsidRPr="00686AF3">
        <w:t xml:space="preserve"> </w:t>
      </w:r>
      <w:r w:rsidRPr="00686AF3">
        <w:t>8941 is coated with silica particles which</w:t>
      </w:r>
      <w:r w:rsidR="00686AF3">
        <w:t xml:space="preserve"> </w:t>
      </w:r>
      <w:r w:rsidRPr="00686AF3">
        <w:t>stabilize the emulsion. Stability is a key</w:t>
      </w:r>
      <w:r w:rsidR="00686AF3" w:rsidRPr="00686AF3">
        <w:t xml:space="preserve"> </w:t>
      </w:r>
      <w:r w:rsidRPr="00686AF3">
        <w:t>property of TiterMax</w:t>
      </w:r>
      <w:r w:rsidR="00327E82">
        <w:rPr>
          <w:b/>
          <w:bCs/>
        </w:rPr>
        <w:t>™</w:t>
      </w:r>
      <w:r w:rsidRPr="00686AF3">
        <w:t xml:space="preserve"> as it enables the</w:t>
      </w:r>
      <w:r w:rsidR="00686AF3" w:rsidRPr="00686AF3">
        <w:t xml:space="preserve"> </w:t>
      </w:r>
      <w:r w:rsidRPr="00686AF3">
        <w:t>emulsion to contain a wide variety of</w:t>
      </w:r>
      <w:r w:rsidR="00686AF3" w:rsidRPr="00686AF3">
        <w:t xml:space="preserve"> </w:t>
      </w:r>
      <w:r w:rsidRPr="00686AF3">
        <w:t>antigens without the use of large amounts</w:t>
      </w:r>
      <w:r w:rsidR="00686AF3" w:rsidRPr="00686AF3">
        <w:t xml:space="preserve"> </w:t>
      </w:r>
      <w:r w:rsidRPr="00686AF3">
        <w:t>of toxic emulsifying agents. The copolymer</w:t>
      </w:r>
      <w:r w:rsidR="00686AF3" w:rsidRPr="00686AF3">
        <w:t xml:space="preserve"> </w:t>
      </w:r>
      <w:r w:rsidRPr="00686AF3">
        <w:t>enables more antigen to be carried on its</w:t>
      </w:r>
      <w:r w:rsidR="00686AF3" w:rsidRPr="00686AF3">
        <w:t xml:space="preserve"> </w:t>
      </w:r>
      <w:r w:rsidRPr="00686AF3">
        <w:t>surface than if the antigen were in solution.</w:t>
      </w:r>
      <w:r w:rsidR="00686AF3" w:rsidRPr="00686AF3">
        <w:t xml:space="preserve"> </w:t>
      </w:r>
      <w:r w:rsidRPr="00686AF3">
        <w:t>It also activates complement, assisting in</w:t>
      </w:r>
      <w:r w:rsidR="00686AF3" w:rsidRPr="00686AF3">
        <w:t xml:space="preserve"> </w:t>
      </w:r>
      <w:r w:rsidRPr="00686AF3">
        <w:t>retention of the antigen in the lymphoid</w:t>
      </w:r>
      <w:r w:rsidR="00686AF3" w:rsidRPr="00686AF3">
        <w:t xml:space="preserve"> </w:t>
      </w:r>
      <w:r w:rsidRPr="00686AF3">
        <w:t>tissues and activation of immunoreactive</w:t>
      </w:r>
      <w:r w:rsidR="00686AF3" w:rsidRPr="00686AF3">
        <w:t xml:space="preserve"> </w:t>
      </w:r>
      <w:r w:rsidRPr="00686AF3">
        <w:t>cells. TiterMax</w:t>
      </w:r>
      <w:r w:rsidR="00327E82">
        <w:rPr>
          <w:b/>
          <w:bCs/>
        </w:rPr>
        <w:t>™</w:t>
      </w:r>
      <w:r w:rsidRPr="00686AF3">
        <w:t xml:space="preserve"> induces increased expression</w:t>
      </w:r>
      <w:r w:rsidR="00686AF3" w:rsidRPr="00686AF3">
        <w:t xml:space="preserve"> </w:t>
      </w:r>
      <w:r w:rsidRPr="00686AF3">
        <w:t>of class II (Ia) major histocompatibility</w:t>
      </w:r>
      <w:r w:rsidR="00686AF3" w:rsidRPr="00686AF3">
        <w:t xml:space="preserve"> </w:t>
      </w:r>
      <w:r w:rsidRPr="00686AF3">
        <w:t>complex molecules (MHC) on macrophages,</w:t>
      </w:r>
      <w:r w:rsidR="00686AF3">
        <w:t xml:space="preserve"> </w:t>
      </w:r>
      <w:r w:rsidRPr="00686AF3">
        <w:t>and increases the presentation of</w:t>
      </w:r>
      <w:r w:rsidR="00686AF3" w:rsidRPr="00686AF3">
        <w:t xml:space="preserve">   </w:t>
      </w:r>
      <w:r w:rsidRPr="00686AF3">
        <w:t>Ag to T cells. When TiterMax</w:t>
      </w:r>
      <w:r w:rsidR="00327E82">
        <w:rPr>
          <w:b/>
          <w:bCs/>
        </w:rPr>
        <w:t>™</w:t>
      </w:r>
      <w:r w:rsidRPr="00686AF3">
        <w:t xml:space="preserve"> works well, it</w:t>
      </w:r>
      <w:r w:rsidR="00686AF3">
        <w:t xml:space="preserve"> </w:t>
      </w:r>
      <w:r w:rsidRPr="00686AF3">
        <w:t>can induce antibody titers as high or higher</w:t>
      </w:r>
      <w:r w:rsidR="00686AF3">
        <w:t xml:space="preserve"> </w:t>
      </w:r>
      <w:r w:rsidRPr="00686AF3">
        <w:t>than FCA and exhibits less toxicity.</w:t>
      </w:r>
      <w:r w:rsidR="00686AF3">
        <w:t xml:space="preserve"> </w:t>
      </w:r>
      <w:r w:rsidRPr="00686AF3">
        <w:t>However, adjuvantation with TiterMax</w:t>
      </w:r>
      <w:r w:rsidR="00327E82">
        <w:rPr>
          <w:b/>
          <w:bCs/>
        </w:rPr>
        <w:t>™</w:t>
      </w:r>
      <w:r w:rsidR="00686AF3">
        <w:t xml:space="preserve"> </w:t>
      </w:r>
      <w:r w:rsidRPr="00686AF3">
        <w:t>is not always successful. In addition,</w:t>
      </w:r>
      <w:r w:rsidR="00686AF3">
        <w:t xml:space="preserve"> </w:t>
      </w:r>
      <w:r w:rsidRPr="00686AF3">
        <w:t>TiterMax</w:t>
      </w:r>
      <w:r w:rsidR="00327E82">
        <w:rPr>
          <w:b/>
          <w:bCs/>
        </w:rPr>
        <w:t>™</w:t>
      </w:r>
      <w:r w:rsidRPr="00686AF3">
        <w:t xml:space="preserve"> contains small quantities of an</w:t>
      </w:r>
      <w:r w:rsidR="00686AF3">
        <w:t xml:space="preserve"> </w:t>
      </w:r>
      <w:r w:rsidRPr="00686AF3">
        <w:t>emulsifying agent and silica particles which</w:t>
      </w:r>
    </w:p>
    <w:p w14:paraId="334E9437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t>have been implicated in delayed-type</w:t>
      </w:r>
      <w:r w:rsidR="00686AF3">
        <w:t xml:space="preserve"> </w:t>
      </w:r>
      <w:r w:rsidRPr="00686AF3">
        <w:t>vaccine reactions.</w:t>
      </w:r>
    </w:p>
    <w:p w14:paraId="6898D839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rPr>
          <w:b/>
          <w:bCs/>
        </w:rPr>
        <w:t xml:space="preserve">Quil A </w:t>
      </w:r>
      <w:r w:rsidRPr="00686AF3">
        <w:t>is a partially purified form of saponin</w:t>
      </w:r>
      <w:r w:rsidR="00686AF3">
        <w:t xml:space="preserve"> </w:t>
      </w:r>
      <w:r w:rsidRPr="00686AF3">
        <w:t>or triterpene glycoside derived from the bark</w:t>
      </w:r>
      <w:r w:rsidR="00686AF3">
        <w:t xml:space="preserve"> </w:t>
      </w:r>
      <w:r w:rsidRPr="00686AF3">
        <w:t xml:space="preserve">of the </w:t>
      </w:r>
      <w:r w:rsidRPr="00686AF3">
        <w:rPr>
          <w:i/>
          <w:iCs/>
        </w:rPr>
        <w:t xml:space="preserve">Quila saponara </w:t>
      </w:r>
      <w:r w:rsidRPr="00686AF3">
        <w:t>tree and purified to</w:t>
      </w:r>
      <w:r w:rsidR="00686AF3">
        <w:t xml:space="preserve"> </w:t>
      </w:r>
      <w:r w:rsidRPr="00686AF3">
        <w:t>reduce the presence of components which</w:t>
      </w:r>
      <w:r w:rsidR="00686AF3">
        <w:t xml:space="preserve"> </w:t>
      </w:r>
      <w:r w:rsidRPr="00686AF3">
        <w:t>cause adverse local reactions. In general,</w:t>
      </w:r>
      <w:r w:rsidR="00686AF3">
        <w:t xml:space="preserve"> </w:t>
      </w:r>
      <w:r w:rsidRPr="00686AF3">
        <w:t>saponins should not be injected intraperitoneally</w:t>
      </w:r>
      <w:r w:rsidR="00686AF3">
        <w:t xml:space="preserve"> </w:t>
      </w:r>
      <w:r w:rsidRPr="00686AF3">
        <w:t>or intravenously due to their</w:t>
      </w:r>
    </w:p>
    <w:p w14:paraId="4AABDF2B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t>hemolytic activity. As Quil A is only</w:t>
      </w:r>
      <w:r w:rsidR="00686AF3">
        <w:t xml:space="preserve"> </w:t>
      </w:r>
      <w:r w:rsidRPr="00686AF3">
        <w:t>semi-purified, it can still induce significant</w:t>
      </w:r>
      <w:r w:rsidR="00686AF3">
        <w:t xml:space="preserve"> </w:t>
      </w:r>
      <w:r w:rsidRPr="00686AF3">
        <w:t>pyrogenic and local reactions. Therefore,</w:t>
      </w:r>
      <w:r w:rsidR="00686AF3">
        <w:t xml:space="preserve"> </w:t>
      </w:r>
      <w:r w:rsidRPr="00686AF3">
        <w:t>prior to using a formulation containing Quil</w:t>
      </w:r>
      <w:r w:rsidR="00686AF3">
        <w:t xml:space="preserve"> </w:t>
      </w:r>
      <w:r w:rsidRPr="00686AF3">
        <w:t xml:space="preserve">A, it should be evaluated </w:t>
      </w:r>
      <w:r w:rsidRPr="00686AF3">
        <w:rPr>
          <w:i/>
          <w:iCs/>
        </w:rPr>
        <w:t xml:space="preserve">in vitro </w:t>
      </w:r>
      <w:r w:rsidRPr="00686AF3">
        <w:t>(i.e., for</w:t>
      </w:r>
      <w:r w:rsidR="00686AF3">
        <w:t xml:space="preserve"> </w:t>
      </w:r>
      <w:r w:rsidRPr="00686AF3">
        <w:t>cell culture toxicity). The adjuvant properties</w:t>
      </w:r>
      <w:r w:rsidR="00686AF3">
        <w:t xml:space="preserve"> </w:t>
      </w:r>
      <w:r w:rsidRPr="00686AF3">
        <w:t>of Quil A rely on the formation of iscoms</w:t>
      </w:r>
      <w:r w:rsidR="00686AF3">
        <w:t xml:space="preserve"> </w:t>
      </w:r>
      <w:r w:rsidRPr="00686AF3">
        <w:t>(immune stimulating complexes) which are</w:t>
      </w:r>
      <w:r w:rsidR="00686AF3">
        <w:t xml:space="preserve"> </w:t>
      </w:r>
      <w:r w:rsidRPr="00686AF3">
        <w:t>especially useful in inducing Abs to</w:t>
      </w:r>
      <w:r w:rsidR="00686AF3">
        <w:t xml:space="preserve"> </w:t>
      </w:r>
      <w:r w:rsidRPr="00686AF3">
        <w:t>membrane antigens. The iscoms are 35nm</w:t>
      </w:r>
      <w:r w:rsidR="00686AF3">
        <w:t xml:space="preserve"> </w:t>
      </w:r>
      <w:r w:rsidRPr="00686AF3">
        <w:t>clathrate bodies like micelles made of Quil</w:t>
      </w:r>
      <w:r w:rsidR="00686AF3">
        <w:t xml:space="preserve"> </w:t>
      </w:r>
      <w:r w:rsidRPr="00686AF3">
        <w:t>A, cholesterol, phosphatidyl choline and</w:t>
      </w:r>
      <w:r w:rsidR="00686AF3">
        <w:t xml:space="preserve"> </w:t>
      </w:r>
      <w:r w:rsidRPr="00686AF3">
        <w:t>antigen. The purified saponin component</w:t>
      </w:r>
      <w:r w:rsidR="00686AF3">
        <w:t xml:space="preserve"> </w:t>
      </w:r>
      <w:r w:rsidRPr="00686AF3">
        <w:t>which has the highest adjuvant/toxicity ratio</w:t>
      </w:r>
    </w:p>
    <w:p w14:paraId="3E9D5401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t>is called QS21. Saponin containing formulations</w:t>
      </w:r>
      <w:r w:rsidR="00686AF3">
        <w:t xml:space="preserve"> </w:t>
      </w:r>
      <w:r w:rsidRPr="00686AF3">
        <w:t>should never be administered via</w:t>
      </w:r>
      <w:r w:rsidR="00686AF3">
        <w:t xml:space="preserve"> </w:t>
      </w:r>
      <w:r w:rsidRPr="00686AF3">
        <w:t>mucosal surfaces, such as intranasal when</w:t>
      </w:r>
      <w:r w:rsidR="00686AF3">
        <w:t xml:space="preserve"> </w:t>
      </w:r>
      <w:r w:rsidRPr="00686AF3">
        <w:t>induction of IgA is desired.</w:t>
      </w:r>
    </w:p>
    <w:p w14:paraId="34AC8CF8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rPr>
          <w:b/>
          <w:bCs/>
        </w:rPr>
        <w:t>Mineral-Based Adjuvants</w:t>
      </w:r>
      <w:r w:rsidRPr="00686AF3">
        <w:t>. Three mineral</w:t>
      </w:r>
      <w:r w:rsidR="00686AF3">
        <w:t xml:space="preserve"> </w:t>
      </w:r>
      <w:r w:rsidRPr="00686AF3">
        <w:t>compounds are generally used in adjuvants:</w:t>
      </w:r>
    </w:p>
    <w:p w14:paraId="5AA8E16E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lastRenderedPageBreak/>
        <w:t>aluminum hydroxide; aluminum phosphate;</w:t>
      </w:r>
      <w:r w:rsidR="00686AF3">
        <w:t xml:space="preserve"> </w:t>
      </w:r>
      <w:r w:rsidRPr="00686AF3">
        <w:t>and calcium phosphate. Aluminium salts</w:t>
      </w:r>
      <w:r w:rsidR="00686AF3">
        <w:t xml:space="preserve"> </w:t>
      </w:r>
      <w:r w:rsidRPr="00686AF3">
        <w:t>are claimed to be superior to all other adjuvants</w:t>
      </w:r>
      <w:r w:rsidR="00686AF3">
        <w:t xml:space="preserve"> </w:t>
      </w:r>
      <w:r w:rsidRPr="00686AF3">
        <w:t>in their ability to increase immune</w:t>
      </w:r>
      <w:r w:rsidR="00686AF3">
        <w:t xml:space="preserve"> </w:t>
      </w:r>
      <w:r w:rsidRPr="00686AF3">
        <w:t>responses against weak immunogens,</w:t>
      </w:r>
      <w:r w:rsidR="00686AF3">
        <w:t xml:space="preserve"> </w:t>
      </w:r>
      <w:r w:rsidRPr="00686AF3">
        <w:t>including those for which FCA does not</w:t>
      </w:r>
      <w:r w:rsidR="00686AF3">
        <w:t xml:space="preserve"> </w:t>
      </w:r>
      <w:r w:rsidRPr="00686AF3">
        <w:t>work. Alhydrogels are sterile aluminium</w:t>
      </w:r>
    </w:p>
    <w:p w14:paraId="1BDD22E9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t>hydroxide gels that are pyrogen-free and</w:t>
      </w:r>
      <w:r w:rsidR="00686AF3">
        <w:t xml:space="preserve"> </w:t>
      </w:r>
      <w:r w:rsidRPr="00686AF3">
        <w:t>stable, they have a high adsorptive capacity.</w:t>
      </w:r>
      <w:r w:rsidR="00686AF3">
        <w:t xml:space="preserve"> </w:t>
      </w:r>
      <w:r w:rsidRPr="00686AF3">
        <w:t>At pH &lt;9 alhydrogels have a positive</w:t>
      </w:r>
      <w:r w:rsidR="00686AF3">
        <w:t xml:space="preserve"> </w:t>
      </w:r>
      <w:r w:rsidRPr="00686AF3">
        <w:t>charge so they readily adsorb negatively</w:t>
      </w:r>
      <w:r w:rsidR="00686AF3">
        <w:t xml:space="preserve"> </w:t>
      </w:r>
      <w:r w:rsidRPr="00686AF3">
        <w:t>charged molecules (e.g., proteins at neutral</w:t>
      </w:r>
      <w:r w:rsidR="00686AF3">
        <w:t xml:space="preserve"> </w:t>
      </w:r>
      <w:r w:rsidRPr="00686AF3">
        <w:t>pH).</w:t>
      </w:r>
    </w:p>
    <w:p w14:paraId="0D911858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rPr>
          <w:b/>
          <w:bCs/>
        </w:rPr>
        <w:t xml:space="preserve">CpG DNA </w:t>
      </w:r>
      <w:r w:rsidRPr="00686AF3">
        <w:t>is a non-specific immune activator</w:t>
      </w:r>
      <w:r w:rsidR="00686AF3">
        <w:t xml:space="preserve"> </w:t>
      </w:r>
      <w:r w:rsidRPr="00686AF3">
        <w:t>that can be used alone or in combination</w:t>
      </w:r>
      <w:r w:rsidR="00686AF3">
        <w:t xml:space="preserve"> </w:t>
      </w:r>
      <w:r w:rsidRPr="00686AF3">
        <w:t>with other adjuvant components to augment</w:t>
      </w:r>
      <w:r w:rsidR="00686AF3">
        <w:t xml:space="preserve"> </w:t>
      </w:r>
      <w:r w:rsidRPr="00686AF3">
        <w:t>immune responses. Commercial preparations</w:t>
      </w:r>
      <w:r w:rsidR="00686AF3">
        <w:t xml:space="preserve"> </w:t>
      </w:r>
      <w:r w:rsidRPr="00686AF3">
        <w:t>of CpG DNA comprise short pieces</w:t>
      </w:r>
      <w:r w:rsidR="00686AF3">
        <w:t xml:space="preserve"> </w:t>
      </w:r>
      <w:r w:rsidRPr="00686AF3">
        <w:t>of DNA (oligonucleotides) that contain</w:t>
      </w:r>
      <w:r w:rsidR="00686AF3">
        <w:t xml:space="preserve"> </w:t>
      </w:r>
      <w:r w:rsidRPr="00686AF3">
        <w:t>unmethylated cytosine-guanine dinucleotides</w:t>
      </w:r>
      <w:r w:rsidR="00686AF3">
        <w:t xml:space="preserve"> </w:t>
      </w:r>
      <w:r w:rsidRPr="00686AF3">
        <w:t>within a certain base contact. The</w:t>
      </w:r>
      <w:r w:rsidR="00686AF3">
        <w:t xml:space="preserve"> </w:t>
      </w:r>
      <w:r w:rsidRPr="00686AF3">
        <w:t>mammalian immune system has evolved to</w:t>
      </w:r>
    </w:p>
    <w:p w14:paraId="125F9754" w14:textId="77777777" w:rsidR="00997815" w:rsidRPr="00686AF3" w:rsidRDefault="00997815" w:rsidP="00997815">
      <w:pPr>
        <w:autoSpaceDE w:val="0"/>
        <w:autoSpaceDN w:val="0"/>
        <w:adjustRightInd w:val="0"/>
      </w:pPr>
      <w:r w:rsidRPr="00686AF3">
        <w:t>recognize these sequences, which are</w:t>
      </w:r>
      <w:r w:rsidR="00686AF3">
        <w:t xml:space="preserve"> </w:t>
      </w:r>
      <w:r w:rsidRPr="00686AF3">
        <w:t>found naturally in bacterial DNA, as a sign</w:t>
      </w:r>
      <w:r w:rsidR="00686AF3">
        <w:t xml:space="preserve"> </w:t>
      </w:r>
      <w:r w:rsidRPr="00686AF3">
        <w:t>of infection. Different CpG DNA sequences</w:t>
      </w:r>
      <w:r w:rsidR="00686AF3">
        <w:t xml:space="preserve"> </w:t>
      </w:r>
      <w:r w:rsidRPr="00686AF3">
        <w:t>activate the immune systems of different</w:t>
      </w:r>
      <w:r w:rsidR="00686AF3">
        <w:t xml:space="preserve"> </w:t>
      </w:r>
      <w:r w:rsidRPr="00686AF3">
        <w:t>species, and the commercial preparations</w:t>
      </w:r>
      <w:r w:rsidR="00686AF3">
        <w:t xml:space="preserve"> </w:t>
      </w:r>
      <w:r w:rsidRPr="00686AF3">
        <w:t>of this adjuvant are therefore species</w:t>
      </w:r>
      <w:r w:rsidR="00686AF3">
        <w:t xml:space="preserve"> </w:t>
      </w:r>
      <w:r w:rsidRPr="00686AF3">
        <w:t>specific.</w:t>
      </w:r>
    </w:p>
    <w:sectPr w:rsidR="00997815" w:rsidRPr="00686AF3" w:rsidSect="00686AF3">
      <w:headerReference w:type="default" r:id="rId13"/>
      <w:footerReference w:type="default" r:id="rId14"/>
      <w:pgSz w:w="11906" w:h="16838"/>
      <w:pgMar w:top="1985" w:right="707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EB8B8" w14:textId="77777777" w:rsidR="00120BA2" w:rsidRDefault="00120BA2" w:rsidP="00E36884">
      <w:r>
        <w:separator/>
      </w:r>
    </w:p>
  </w:endnote>
  <w:endnote w:type="continuationSeparator" w:id="0">
    <w:p w14:paraId="536A44D3" w14:textId="77777777" w:rsidR="00120BA2" w:rsidRDefault="00120BA2" w:rsidP="00E36884">
      <w:r>
        <w:continuationSeparator/>
      </w:r>
    </w:p>
  </w:endnote>
  <w:endnote w:type="continuationNotice" w:id="1">
    <w:p w14:paraId="4178BDEE" w14:textId="77777777" w:rsidR="00120BA2" w:rsidRDefault="00120B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6AF40" w14:textId="77777777" w:rsidR="00CB3E32" w:rsidRDefault="00CB3E32">
    <w:pPr>
      <w:pStyle w:val="Footer"/>
    </w:pPr>
    <w:r>
      <w:t>Version 1 May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23638" w14:textId="77777777" w:rsidR="00120BA2" w:rsidRDefault="00120BA2" w:rsidP="00E36884">
      <w:r>
        <w:separator/>
      </w:r>
    </w:p>
  </w:footnote>
  <w:footnote w:type="continuationSeparator" w:id="0">
    <w:p w14:paraId="11FEFB8F" w14:textId="77777777" w:rsidR="00120BA2" w:rsidRDefault="00120BA2" w:rsidP="00E36884">
      <w:r>
        <w:continuationSeparator/>
      </w:r>
    </w:p>
  </w:footnote>
  <w:footnote w:type="continuationNotice" w:id="1">
    <w:p w14:paraId="2D193534" w14:textId="77777777" w:rsidR="00120BA2" w:rsidRDefault="00120B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2735A" w14:textId="77777777" w:rsidR="008709B0" w:rsidRDefault="008709B0">
    <w:pPr>
      <w:pStyle w:val="Header"/>
    </w:pPr>
    <w:r w:rsidRPr="00333430">
      <w:rPr>
        <w:noProof/>
        <w:sz w:val="32"/>
        <w:szCs w:val="32"/>
        <w:lang w:eastAsia="en-GB"/>
      </w:rPr>
      <w:drawing>
        <wp:anchor distT="0" distB="0" distL="114300" distR="114300" simplePos="0" relativeHeight="251658240" behindDoc="0" locked="0" layoutInCell="1" allowOverlap="1" wp14:anchorId="394268F4" wp14:editId="43C133D4">
          <wp:simplePos x="0" y="0"/>
          <wp:positionH relativeFrom="column">
            <wp:posOffset>5406390</wp:posOffset>
          </wp:positionH>
          <wp:positionV relativeFrom="paragraph">
            <wp:posOffset>-281940</wp:posOffset>
          </wp:positionV>
          <wp:extent cx="1005840" cy="1005840"/>
          <wp:effectExtent l="0" t="0" r="3810" b="3810"/>
          <wp:wrapThrough wrapText="bothSides">
            <wp:wrapPolygon edited="0">
              <wp:start x="0" y="0"/>
              <wp:lineTo x="0" y="21273"/>
              <wp:lineTo x="21273" y="21273"/>
              <wp:lineTo x="21273" y="0"/>
              <wp:lineTo x="0" y="0"/>
            </wp:wrapPolygon>
          </wp:wrapThrough>
          <wp:docPr id="34" name="Picture 34" descr="K:\HO\Project Licences\AWERB\AWERB Named Persons Committee (NPC)\2018\may\Logo_UBS-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\Project Licences\AWERB\AWERB Named Persons Committee (NPC)\2018\may\Logo_UBS-1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D01A3C" w14:textId="77777777" w:rsidR="00E36884" w:rsidRDefault="00E36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F1F1B"/>
    <w:multiLevelType w:val="hybridMultilevel"/>
    <w:tmpl w:val="254E7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44A36"/>
    <w:multiLevelType w:val="hybridMultilevel"/>
    <w:tmpl w:val="796EC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33E6C"/>
    <w:multiLevelType w:val="hybridMultilevel"/>
    <w:tmpl w:val="933A8C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02FE6"/>
    <w:multiLevelType w:val="hybridMultilevel"/>
    <w:tmpl w:val="4A96D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84142"/>
    <w:multiLevelType w:val="hybridMultilevel"/>
    <w:tmpl w:val="63D08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D107E"/>
    <w:multiLevelType w:val="hybridMultilevel"/>
    <w:tmpl w:val="5A12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77A15"/>
    <w:multiLevelType w:val="hybridMultilevel"/>
    <w:tmpl w:val="913E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E12BA"/>
    <w:multiLevelType w:val="hybridMultilevel"/>
    <w:tmpl w:val="4E464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9CD"/>
    <w:rsid w:val="00000BAD"/>
    <w:rsid w:val="00000F11"/>
    <w:rsid w:val="0000329B"/>
    <w:rsid w:val="00005A49"/>
    <w:rsid w:val="0001575C"/>
    <w:rsid w:val="00032CE4"/>
    <w:rsid w:val="00037FEC"/>
    <w:rsid w:val="000460EA"/>
    <w:rsid w:val="00051BAC"/>
    <w:rsid w:val="00054262"/>
    <w:rsid w:val="00061D07"/>
    <w:rsid w:val="00075440"/>
    <w:rsid w:val="00084096"/>
    <w:rsid w:val="000854A2"/>
    <w:rsid w:val="000A0ACC"/>
    <w:rsid w:val="000A1E81"/>
    <w:rsid w:val="000A5132"/>
    <w:rsid w:val="000B033B"/>
    <w:rsid w:val="000B11C8"/>
    <w:rsid w:val="000B4B41"/>
    <w:rsid w:val="000C0088"/>
    <w:rsid w:val="000D106F"/>
    <w:rsid w:val="000D5CE2"/>
    <w:rsid w:val="000E5318"/>
    <w:rsid w:val="000F005C"/>
    <w:rsid w:val="000F41C0"/>
    <w:rsid w:val="000F467F"/>
    <w:rsid w:val="001051A6"/>
    <w:rsid w:val="00106178"/>
    <w:rsid w:val="00117943"/>
    <w:rsid w:val="00120BA2"/>
    <w:rsid w:val="00124EA3"/>
    <w:rsid w:val="001305BB"/>
    <w:rsid w:val="00131991"/>
    <w:rsid w:val="001349CD"/>
    <w:rsid w:val="001470E1"/>
    <w:rsid w:val="0015375F"/>
    <w:rsid w:val="001706DB"/>
    <w:rsid w:val="0017114D"/>
    <w:rsid w:val="001823F0"/>
    <w:rsid w:val="00186987"/>
    <w:rsid w:val="001879F7"/>
    <w:rsid w:val="001A1DCB"/>
    <w:rsid w:val="001A25E4"/>
    <w:rsid w:val="001A50DC"/>
    <w:rsid w:val="001E4CD8"/>
    <w:rsid w:val="001E562A"/>
    <w:rsid w:val="001F1D42"/>
    <w:rsid w:val="001F4405"/>
    <w:rsid w:val="001F578E"/>
    <w:rsid w:val="00200123"/>
    <w:rsid w:val="00202CC9"/>
    <w:rsid w:val="0021791D"/>
    <w:rsid w:val="00221059"/>
    <w:rsid w:val="0022552B"/>
    <w:rsid w:val="002304A9"/>
    <w:rsid w:val="00235D61"/>
    <w:rsid w:val="002370E2"/>
    <w:rsid w:val="00244647"/>
    <w:rsid w:val="00245AE2"/>
    <w:rsid w:val="00250C04"/>
    <w:rsid w:val="00250EA8"/>
    <w:rsid w:val="002556BE"/>
    <w:rsid w:val="00256780"/>
    <w:rsid w:val="0027684D"/>
    <w:rsid w:val="0028635A"/>
    <w:rsid w:val="00291DA0"/>
    <w:rsid w:val="0029216C"/>
    <w:rsid w:val="00292AED"/>
    <w:rsid w:val="00296AD2"/>
    <w:rsid w:val="002A547A"/>
    <w:rsid w:val="002B0A21"/>
    <w:rsid w:val="002C651E"/>
    <w:rsid w:val="002C7DCB"/>
    <w:rsid w:val="002D4793"/>
    <w:rsid w:val="002D4848"/>
    <w:rsid w:val="002E33E7"/>
    <w:rsid w:val="002E3BAA"/>
    <w:rsid w:val="002F27BD"/>
    <w:rsid w:val="002F708D"/>
    <w:rsid w:val="00302DE5"/>
    <w:rsid w:val="00317D4F"/>
    <w:rsid w:val="00324570"/>
    <w:rsid w:val="00325EEB"/>
    <w:rsid w:val="00327E82"/>
    <w:rsid w:val="00331636"/>
    <w:rsid w:val="00333C2E"/>
    <w:rsid w:val="00336E40"/>
    <w:rsid w:val="00343F3A"/>
    <w:rsid w:val="00346CCE"/>
    <w:rsid w:val="00353E35"/>
    <w:rsid w:val="00354CAB"/>
    <w:rsid w:val="0035725B"/>
    <w:rsid w:val="00372DBA"/>
    <w:rsid w:val="0037550F"/>
    <w:rsid w:val="003803BD"/>
    <w:rsid w:val="00381834"/>
    <w:rsid w:val="003839A3"/>
    <w:rsid w:val="00392342"/>
    <w:rsid w:val="003A4EA3"/>
    <w:rsid w:val="003A6BCC"/>
    <w:rsid w:val="003B4443"/>
    <w:rsid w:val="003C43EA"/>
    <w:rsid w:val="003C4931"/>
    <w:rsid w:val="003C73C8"/>
    <w:rsid w:val="003C76B4"/>
    <w:rsid w:val="003D6171"/>
    <w:rsid w:val="00403D8C"/>
    <w:rsid w:val="00403FC4"/>
    <w:rsid w:val="00410150"/>
    <w:rsid w:val="004106DC"/>
    <w:rsid w:val="004111DC"/>
    <w:rsid w:val="00422083"/>
    <w:rsid w:val="00422084"/>
    <w:rsid w:val="00422AB1"/>
    <w:rsid w:val="004324D4"/>
    <w:rsid w:val="004357F9"/>
    <w:rsid w:val="004426DC"/>
    <w:rsid w:val="00452F46"/>
    <w:rsid w:val="004616C3"/>
    <w:rsid w:val="00474212"/>
    <w:rsid w:val="00474D4F"/>
    <w:rsid w:val="00491B1D"/>
    <w:rsid w:val="004933D1"/>
    <w:rsid w:val="00495811"/>
    <w:rsid w:val="00496E4B"/>
    <w:rsid w:val="004A67F0"/>
    <w:rsid w:val="004A785D"/>
    <w:rsid w:val="004D12C7"/>
    <w:rsid w:val="004D1E12"/>
    <w:rsid w:val="004D3D06"/>
    <w:rsid w:val="004D5ED0"/>
    <w:rsid w:val="004E08A5"/>
    <w:rsid w:val="004F28FA"/>
    <w:rsid w:val="004F2AEF"/>
    <w:rsid w:val="004F35E3"/>
    <w:rsid w:val="00501E0B"/>
    <w:rsid w:val="005055FC"/>
    <w:rsid w:val="00520537"/>
    <w:rsid w:val="005244FD"/>
    <w:rsid w:val="00525D3C"/>
    <w:rsid w:val="005306D0"/>
    <w:rsid w:val="005373C7"/>
    <w:rsid w:val="00540A4A"/>
    <w:rsid w:val="00541096"/>
    <w:rsid w:val="00542EF0"/>
    <w:rsid w:val="00547D0D"/>
    <w:rsid w:val="0055322A"/>
    <w:rsid w:val="005549DA"/>
    <w:rsid w:val="00566C91"/>
    <w:rsid w:val="0057069B"/>
    <w:rsid w:val="00571280"/>
    <w:rsid w:val="005714D1"/>
    <w:rsid w:val="0057277E"/>
    <w:rsid w:val="00577EDC"/>
    <w:rsid w:val="00583090"/>
    <w:rsid w:val="005843E1"/>
    <w:rsid w:val="00594DB0"/>
    <w:rsid w:val="00595F91"/>
    <w:rsid w:val="005A3B68"/>
    <w:rsid w:val="005B1A59"/>
    <w:rsid w:val="005B5A08"/>
    <w:rsid w:val="005C3624"/>
    <w:rsid w:val="005C6BA6"/>
    <w:rsid w:val="005D2EDA"/>
    <w:rsid w:val="005D7998"/>
    <w:rsid w:val="005E064F"/>
    <w:rsid w:val="005E79F9"/>
    <w:rsid w:val="005E7FFA"/>
    <w:rsid w:val="00602ADE"/>
    <w:rsid w:val="0060438F"/>
    <w:rsid w:val="00607545"/>
    <w:rsid w:val="00611905"/>
    <w:rsid w:val="0061339B"/>
    <w:rsid w:val="00630C01"/>
    <w:rsid w:val="00631431"/>
    <w:rsid w:val="00634ECF"/>
    <w:rsid w:val="00640916"/>
    <w:rsid w:val="00641440"/>
    <w:rsid w:val="00647A72"/>
    <w:rsid w:val="00651D58"/>
    <w:rsid w:val="006557D7"/>
    <w:rsid w:val="006558F3"/>
    <w:rsid w:val="00656AB7"/>
    <w:rsid w:val="006703CA"/>
    <w:rsid w:val="0068025B"/>
    <w:rsid w:val="00680513"/>
    <w:rsid w:val="00682B05"/>
    <w:rsid w:val="00685596"/>
    <w:rsid w:val="00686AF3"/>
    <w:rsid w:val="00693AE7"/>
    <w:rsid w:val="006A14C6"/>
    <w:rsid w:val="006A1E50"/>
    <w:rsid w:val="006A600B"/>
    <w:rsid w:val="006C5B43"/>
    <w:rsid w:val="006D6B75"/>
    <w:rsid w:val="006D7868"/>
    <w:rsid w:val="006E1476"/>
    <w:rsid w:val="006E79FC"/>
    <w:rsid w:val="006E7DE7"/>
    <w:rsid w:val="006F118B"/>
    <w:rsid w:val="006F5FAB"/>
    <w:rsid w:val="00705B20"/>
    <w:rsid w:val="00710FB7"/>
    <w:rsid w:val="00714AFC"/>
    <w:rsid w:val="0071504F"/>
    <w:rsid w:val="00717BEA"/>
    <w:rsid w:val="00727BA7"/>
    <w:rsid w:val="0073043B"/>
    <w:rsid w:val="00741A43"/>
    <w:rsid w:val="00743597"/>
    <w:rsid w:val="0074517E"/>
    <w:rsid w:val="007459CD"/>
    <w:rsid w:val="00752B83"/>
    <w:rsid w:val="0075337E"/>
    <w:rsid w:val="0076517B"/>
    <w:rsid w:val="00765FB6"/>
    <w:rsid w:val="00773986"/>
    <w:rsid w:val="00780709"/>
    <w:rsid w:val="00784D22"/>
    <w:rsid w:val="007A0A97"/>
    <w:rsid w:val="007A104A"/>
    <w:rsid w:val="007A48C1"/>
    <w:rsid w:val="007A6589"/>
    <w:rsid w:val="007B21AF"/>
    <w:rsid w:val="007C693C"/>
    <w:rsid w:val="007D43FD"/>
    <w:rsid w:val="007D63D1"/>
    <w:rsid w:val="007E281D"/>
    <w:rsid w:val="00801D19"/>
    <w:rsid w:val="00807E7D"/>
    <w:rsid w:val="00811B11"/>
    <w:rsid w:val="00815860"/>
    <w:rsid w:val="00815F3C"/>
    <w:rsid w:val="00816C5E"/>
    <w:rsid w:val="00820249"/>
    <w:rsid w:val="00821773"/>
    <w:rsid w:val="008247C8"/>
    <w:rsid w:val="008253D8"/>
    <w:rsid w:val="00836F56"/>
    <w:rsid w:val="00851F65"/>
    <w:rsid w:val="00853050"/>
    <w:rsid w:val="0085447A"/>
    <w:rsid w:val="00855F20"/>
    <w:rsid w:val="00865AAE"/>
    <w:rsid w:val="008709B0"/>
    <w:rsid w:val="00874EF4"/>
    <w:rsid w:val="00876F37"/>
    <w:rsid w:val="00882862"/>
    <w:rsid w:val="0089113B"/>
    <w:rsid w:val="008943EF"/>
    <w:rsid w:val="008A0371"/>
    <w:rsid w:val="008A6236"/>
    <w:rsid w:val="008D6242"/>
    <w:rsid w:val="008D6FC1"/>
    <w:rsid w:val="008E28AB"/>
    <w:rsid w:val="008E403E"/>
    <w:rsid w:val="008F50BA"/>
    <w:rsid w:val="008F6356"/>
    <w:rsid w:val="009077F6"/>
    <w:rsid w:val="009201D7"/>
    <w:rsid w:val="00923CB3"/>
    <w:rsid w:val="00923D48"/>
    <w:rsid w:val="009251B9"/>
    <w:rsid w:val="00941235"/>
    <w:rsid w:val="0094379D"/>
    <w:rsid w:val="00951DBA"/>
    <w:rsid w:val="009568FA"/>
    <w:rsid w:val="00960873"/>
    <w:rsid w:val="009634F8"/>
    <w:rsid w:val="0096387D"/>
    <w:rsid w:val="009644EB"/>
    <w:rsid w:val="00966623"/>
    <w:rsid w:val="009678FC"/>
    <w:rsid w:val="00976176"/>
    <w:rsid w:val="0097679E"/>
    <w:rsid w:val="00985EFA"/>
    <w:rsid w:val="00990801"/>
    <w:rsid w:val="009924DB"/>
    <w:rsid w:val="00993B7B"/>
    <w:rsid w:val="00997815"/>
    <w:rsid w:val="009B1595"/>
    <w:rsid w:val="009C15BF"/>
    <w:rsid w:val="009C71CB"/>
    <w:rsid w:val="009C7315"/>
    <w:rsid w:val="009D66B3"/>
    <w:rsid w:val="009E2C17"/>
    <w:rsid w:val="009F19DB"/>
    <w:rsid w:val="009F24BE"/>
    <w:rsid w:val="009F3240"/>
    <w:rsid w:val="009F5F8B"/>
    <w:rsid w:val="009F7B63"/>
    <w:rsid w:val="00A07198"/>
    <w:rsid w:val="00A10B39"/>
    <w:rsid w:val="00A240CF"/>
    <w:rsid w:val="00A36FB6"/>
    <w:rsid w:val="00A51D7C"/>
    <w:rsid w:val="00A51E55"/>
    <w:rsid w:val="00A57BE2"/>
    <w:rsid w:val="00A60BE2"/>
    <w:rsid w:val="00A61312"/>
    <w:rsid w:val="00A61B16"/>
    <w:rsid w:val="00A700CD"/>
    <w:rsid w:val="00A70888"/>
    <w:rsid w:val="00A9277C"/>
    <w:rsid w:val="00A965B9"/>
    <w:rsid w:val="00AA3C4C"/>
    <w:rsid w:val="00AB4604"/>
    <w:rsid w:val="00AB7446"/>
    <w:rsid w:val="00AC197F"/>
    <w:rsid w:val="00AC290C"/>
    <w:rsid w:val="00AC5A3F"/>
    <w:rsid w:val="00AD2191"/>
    <w:rsid w:val="00AD5BDC"/>
    <w:rsid w:val="00AE1924"/>
    <w:rsid w:val="00AE7DCF"/>
    <w:rsid w:val="00B00BAA"/>
    <w:rsid w:val="00B07386"/>
    <w:rsid w:val="00B1379F"/>
    <w:rsid w:val="00B17DE8"/>
    <w:rsid w:val="00B20752"/>
    <w:rsid w:val="00B20A63"/>
    <w:rsid w:val="00B32772"/>
    <w:rsid w:val="00B36E4A"/>
    <w:rsid w:val="00B41DFE"/>
    <w:rsid w:val="00B42E90"/>
    <w:rsid w:val="00B56677"/>
    <w:rsid w:val="00B57636"/>
    <w:rsid w:val="00B60A19"/>
    <w:rsid w:val="00B60C0A"/>
    <w:rsid w:val="00B64444"/>
    <w:rsid w:val="00B8218F"/>
    <w:rsid w:val="00B84186"/>
    <w:rsid w:val="00B954C7"/>
    <w:rsid w:val="00B977AC"/>
    <w:rsid w:val="00BA05DF"/>
    <w:rsid w:val="00BA49CF"/>
    <w:rsid w:val="00BB4ECC"/>
    <w:rsid w:val="00BB731E"/>
    <w:rsid w:val="00BC3558"/>
    <w:rsid w:val="00BC7188"/>
    <w:rsid w:val="00BC72CB"/>
    <w:rsid w:val="00BF0D4D"/>
    <w:rsid w:val="00BF45B1"/>
    <w:rsid w:val="00BF76F8"/>
    <w:rsid w:val="00C00213"/>
    <w:rsid w:val="00C016B7"/>
    <w:rsid w:val="00C13FC5"/>
    <w:rsid w:val="00C15621"/>
    <w:rsid w:val="00C40876"/>
    <w:rsid w:val="00C471C6"/>
    <w:rsid w:val="00C5073F"/>
    <w:rsid w:val="00C50C57"/>
    <w:rsid w:val="00C71DA7"/>
    <w:rsid w:val="00C75FF1"/>
    <w:rsid w:val="00C80830"/>
    <w:rsid w:val="00C8789E"/>
    <w:rsid w:val="00C97495"/>
    <w:rsid w:val="00CB3E32"/>
    <w:rsid w:val="00CB69EB"/>
    <w:rsid w:val="00CC01F9"/>
    <w:rsid w:val="00CC251C"/>
    <w:rsid w:val="00CC2CB3"/>
    <w:rsid w:val="00CD4EE4"/>
    <w:rsid w:val="00CE0F45"/>
    <w:rsid w:val="00D058E9"/>
    <w:rsid w:val="00D0684C"/>
    <w:rsid w:val="00D1204D"/>
    <w:rsid w:val="00D15C92"/>
    <w:rsid w:val="00D21D7A"/>
    <w:rsid w:val="00D246E9"/>
    <w:rsid w:val="00D42AE9"/>
    <w:rsid w:val="00D45D03"/>
    <w:rsid w:val="00D4736F"/>
    <w:rsid w:val="00D71490"/>
    <w:rsid w:val="00D74F9B"/>
    <w:rsid w:val="00D80B4A"/>
    <w:rsid w:val="00D80E9E"/>
    <w:rsid w:val="00D8361B"/>
    <w:rsid w:val="00D84888"/>
    <w:rsid w:val="00D87488"/>
    <w:rsid w:val="00D95E0D"/>
    <w:rsid w:val="00DA3788"/>
    <w:rsid w:val="00DB1E72"/>
    <w:rsid w:val="00DB7838"/>
    <w:rsid w:val="00DB7F23"/>
    <w:rsid w:val="00DC1442"/>
    <w:rsid w:val="00DD0AFC"/>
    <w:rsid w:val="00DD358A"/>
    <w:rsid w:val="00DD3CDE"/>
    <w:rsid w:val="00DD6AD6"/>
    <w:rsid w:val="00DE0B6F"/>
    <w:rsid w:val="00DF4D56"/>
    <w:rsid w:val="00DF64F7"/>
    <w:rsid w:val="00E05469"/>
    <w:rsid w:val="00E22016"/>
    <w:rsid w:val="00E25AC0"/>
    <w:rsid w:val="00E26C5F"/>
    <w:rsid w:val="00E318EE"/>
    <w:rsid w:val="00E31B73"/>
    <w:rsid w:val="00E32C03"/>
    <w:rsid w:val="00E36884"/>
    <w:rsid w:val="00E43170"/>
    <w:rsid w:val="00E46635"/>
    <w:rsid w:val="00E50252"/>
    <w:rsid w:val="00E56CC5"/>
    <w:rsid w:val="00E57EF6"/>
    <w:rsid w:val="00E62A5C"/>
    <w:rsid w:val="00E64C94"/>
    <w:rsid w:val="00E72312"/>
    <w:rsid w:val="00E85238"/>
    <w:rsid w:val="00E866F1"/>
    <w:rsid w:val="00E92E0F"/>
    <w:rsid w:val="00E9628D"/>
    <w:rsid w:val="00EA0A61"/>
    <w:rsid w:val="00EB22EB"/>
    <w:rsid w:val="00EB7339"/>
    <w:rsid w:val="00EB7D47"/>
    <w:rsid w:val="00ED2AF2"/>
    <w:rsid w:val="00ED30D0"/>
    <w:rsid w:val="00ED36A5"/>
    <w:rsid w:val="00ED5E3E"/>
    <w:rsid w:val="00EE0038"/>
    <w:rsid w:val="00EE0186"/>
    <w:rsid w:val="00EE494B"/>
    <w:rsid w:val="00EF41CA"/>
    <w:rsid w:val="00EF6E1D"/>
    <w:rsid w:val="00F05640"/>
    <w:rsid w:val="00F06C81"/>
    <w:rsid w:val="00F101E5"/>
    <w:rsid w:val="00F32126"/>
    <w:rsid w:val="00F44EE8"/>
    <w:rsid w:val="00F4535C"/>
    <w:rsid w:val="00F501AD"/>
    <w:rsid w:val="00F52256"/>
    <w:rsid w:val="00F622F7"/>
    <w:rsid w:val="00F632E6"/>
    <w:rsid w:val="00F66557"/>
    <w:rsid w:val="00F67B0E"/>
    <w:rsid w:val="00F90550"/>
    <w:rsid w:val="00FA2C19"/>
    <w:rsid w:val="00FB2673"/>
    <w:rsid w:val="00FC111D"/>
    <w:rsid w:val="00FD22BA"/>
    <w:rsid w:val="00FD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8D26E9"/>
  <w15:docId w15:val="{EBB869CB-2933-4ABF-AC66-BC0B00C9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B60C0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6E79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68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884"/>
  </w:style>
  <w:style w:type="paragraph" w:styleId="Footer">
    <w:name w:val="footer"/>
    <w:basedOn w:val="Normal"/>
    <w:link w:val="FooterChar"/>
    <w:uiPriority w:val="99"/>
    <w:unhideWhenUsed/>
    <w:rsid w:val="00E368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884"/>
  </w:style>
  <w:style w:type="paragraph" w:styleId="Revision">
    <w:name w:val="Revision"/>
    <w:hidden/>
    <w:uiPriority w:val="99"/>
    <w:semiHidden/>
    <w:rsid w:val="0097679E"/>
  </w:style>
  <w:style w:type="paragraph" w:styleId="BalloonText">
    <w:name w:val="Balloon Text"/>
    <w:basedOn w:val="Normal"/>
    <w:link w:val="BalloonTextChar"/>
    <w:uiPriority w:val="99"/>
    <w:semiHidden/>
    <w:unhideWhenUsed/>
    <w:rsid w:val="009767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79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7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79E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6D7868"/>
  </w:style>
  <w:style w:type="character" w:styleId="FollowedHyperlink">
    <w:name w:val="FollowedHyperlink"/>
    <w:basedOn w:val="DefaultParagraphFont"/>
    <w:uiPriority w:val="99"/>
    <w:semiHidden/>
    <w:unhideWhenUsed/>
    <w:rsid w:val="00997815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43F3A"/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43F3A"/>
    <w:rPr>
      <w:rFonts w:ascii="Calibri" w:hAnsi="Calibri" w:cstheme="min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8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12" Type="http://schemas.openxmlformats.org/officeDocument/2006/relationships/hyperlink" Target="https://ccac.ca/Documents/Standards/Guidelines/Antibody_production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javascript:;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Anne-Marie Farmer</dc:creator>
  <cp:lastModifiedBy>Debs Flack</cp:lastModifiedBy>
  <cp:revision>2</cp:revision>
  <dcterms:created xsi:type="dcterms:W3CDTF">2021-07-08T07:45:00Z</dcterms:created>
  <dcterms:modified xsi:type="dcterms:W3CDTF">2021-07-08T07:45:00Z</dcterms:modified>
</cp:coreProperties>
</file>