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29731C" w14:textId="527E3EA2" w:rsidR="601B7389" w:rsidRPr="003E33E9" w:rsidRDefault="020B6AD9" w:rsidP="003E33E9">
      <w:pPr>
        <w:jc w:val="center"/>
        <w:rPr>
          <w:b/>
          <w:bCs/>
          <w:sz w:val="32"/>
          <w:szCs w:val="32"/>
          <w:u w:val="single"/>
        </w:rPr>
      </w:pPr>
      <w:r w:rsidRPr="63AB13CE">
        <w:rPr>
          <w:b/>
          <w:bCs/>
          <w:sz w:val="24"/>
          <w:szCs w:val="24"/>
          <w:u w:val="single"/>
        </w:rPr>
        <w:t xml:space="preserve"> </w:t>
      </w:r>
      <w:r w:rsidR="6223EFF4" w:rsidRPr="00705E72">
        <w:rPr>
          <w:b/>
          <w:bCs/>
          <w:sz w:val="32"/>
          <w:szCs w:val="32"/>
          <w:u w:val="single"/>
        </w:rPr>
        <w:t>3Rs</w:t>
      </w:r>
      <w:r w:rsidR="1487E725" w:rsidRPr="00705E72">
        <w:rPr>
          <w:b/>
          <w:bCs/>
          <w:sz w:val="32"/>
          <w:szCs w:val="32"/>
          <w:u w:val="single"/>
        </w:rPr>
        <w:t xml:space="preserve"> committee</w:t>
      </w:r>
      <w:r w:rsidR="6092EA23" w:rsidRPr="00705E72">
        <w:rPr>
          <w:b/>
          <w:bCs/>
          <w:sz w:val="32"/>
          <w:szCs w:val="32"/>
          <w:u w:val="single"/>
        </w:rPr>
        <w:t xml:space="preserve"> – NIO Report</w:t>
      </w:r>
      <w:r w:rsidR="002F3F17" w:rsidRPr="00705E72">
        <w:rPr>
          <w:b/>
          <w:bCs/>
          <w:sz w:val="32"/>
          <w:szCs w:val="32"/>
          <w:u w:val="single"/>
        </w:rPr>
        <w:t xml:space="preserve"> </w:t>
      </w:r>
    </w:p>
    <w:p w14:paraId="279D8E10" w14:textId="2F542558" w:rsidR="04D15B66" w:rsidRDefault="04D15B66" w:rsidP="4E1FDC31">
      <w:pPr>
        <w:spacing w:after="0"/>
        <w:rPr>
          <w:rFonts w:ascii="Calibri" w:eastAsia="Calibri" w:hAnsi="Calibri" w:cs="Calibri"/>
          <w:color w:val="333333"/>
        </w:rPr>
      </w:pPr>
    </w:p>
    <w:p w14:paraId="78DCAE1C" w14:textId="35822363" w:rsidR="32B50784" w:rsidRDefault="32B50784" w:rsidP="63AB13CE">
      <w:pPr>
        <w:spacing w:after="0"/>
        <w:rPr>
          <w:rFonts w:ascii="Calibri" w:eastAsia="Calibri" w:hAnsi="Calibri" w:cs="Calibri"/>
          <w:b/>
          <w:bCs/>
          <w:color w:val="333333"/>
        </w:rPr>
      </w:pPr>
      <w:r w:rsidRPr="63AB13CE">
        <w:rPr>
          <w:rFonts w:ascii="Calibri" w:eastAsia="Calibri" w:hAnsi="Calibri" w:cs="Calibri"/>
          <w:b/>
          <w:bCs/>
          <w:color w:val="333333"/>
        </w:rPr>
        <w:t>Articles/</w:t>
      </w:r>
      <w:r w:rsidR="003E33E9">
        <w:rPr>
          <w:rFonts w:ascii="Calibri" w:eastAsia="Calibri" w:hAnsi="Calibri" w:cs="Calibri"/>
          <w:b/>
          <w:bCs/>
          <w:color w:val="333333"/>
        </w:rPr>
        <w:t>N</w:t>
      </w:r>
      <w:r w:rsidRPr="63AB13CE">
        <w:rPr>
          <w:rFonts w:ascii="Calibri" w:eastAsia="Calibri" w:hAnsi="Calibri" w:cs="Calibri"/>
          <w:b/>
          <w:bCs/>
          <w:color w:val="333333"/>
        </w:rPr>
        <w:t>ews</w:t>
      </w:r>
      <w:r w:rsidR="008738A0" w:rsidRPr="63AB13CE">
        <w:rPr>
          <w:rFonts w:ascii="Calibri" w:eastAsia="Calibri" w:hAnsi="Calibri" w:cs="Calibri"/>
          <w:b/>
          <w:bCs/>
          <w:color w:val="333333"/>
        </w:rPr>
        <w:t>/Information</w:t>
      </w:r>
      <w:r w:rsidRPr="63AB13CE">
        <w:rPr>
          <w:rFonts w:ascii="Calibri" w:eastAsia="Calibri" w:hAnsi="Calibri" w:cs="Calibri"/>
          <w:b/>
          <w:bCs/>
          <w:color w:val="333333"/>
        </w:rPr>
        <w:t>:</w:t>
      </w:r>
    </w:p>
    <w:p w14:paraId="5B2CA530" w14:textId="77777777" w:rsidR="00D37864" w:rsidRPr="002F3F17" w:rsidRDefault="00D37864" w:rsidP="63AB13CE">
      <w:pPr>
        <w:spacing w:after="0"/>
        <w:rPr>
          <w:rFonts w:ascii="Calibri" w:eastAsia="Calibri" w:hAnsi="Calibri" w:cs="Calibri"/>
          <w:i/>
          <w:iCs/>
          <w:color w:val="808080" w:themeColor="background1" w:themeShade="80"/>
        </w:rPr>
      </w:pPr>
    </w:p>
    <w:p w14:paraId="7049B63E" w14:textId="2130E3EC" w:rsidR="60481A96" w:rsidRPr="00631A7B" w:rsidRDefault="002C209B" w:rsidP="00631A7B">
      <w:pPr>
        <w:pStyle w:val="ListParagraph"/>
        <w:numPr>
          <w:ilvl w:val="0"/>
          <w:numId w:val="16"/>
        </w:numPr>
        <w:spacing w:after="0"/>
        <w:rPr>
          <w:rFonts w:ascii="Calibri" w:eastAsia="Calibri" w:hAnsi="Calibri" w:cs="Calibri"/>
          <w:color w:val="333333"/>
        </w:rPr>
      </w:pPr>
      <w:r w:rsidRPr="00631A7B">
        <w:rPr>
          <w:rFonts w:ascii="Calibri" w:eastAsia="Calibri" w:hAnsi="Calibri" w:cs="Calibri"/>
          <w:color w:val="333333"/>
        </w:rPr>
        <w:t xml:space="preserve">The UBS newsletter </w:t>
      </w:r>
      <w:r w:rsidR="00AB5F3F">
        <w:rPr>
          <w:rFonts w:ascii="Calibri" w:eastAsia="Calibri" w:hAnsi="Calibri" w:cs="Calibri"/>
          <w:color w:val="333333"/>
        </w:rPr>
        <w:t>December Newsletter has been sent out to all PPL</w:t>
      </w:r>
      <w:r w:rsidR="00E07223">
        <w:rPr>
          <w:rFonts w:ascii="Calibri" w:eastAsia="Calibri" w:hAnsi="Calibri" w:cs="Calibri"/>
          <w:color w:val="333333"/>
        </w:rPr>
        <w:t>h</w:t>
      </w:r>
      <w:r w:rsidR="00AB5F3F">
        <w:rPr>
          <w:rFonts w:ascii="Calibri" w:eastAsia="Calibri" w:hAnsi="Calibri" w:cs="Calibri"/>
          <w:color w:val="333333"/>
        </w:rPr>
        <w:t xml:space="preserve">s. </w:t>
      </w:r>
      <w:r w:rsidRPr="00631A7B">
        <w:rPr>
          <w:rFonts w:ascii="Calibri" w:eastAsia="Calibri" w:hAnsi="Calibri" w:cs="Calibri"/>
          <w:color w:val="333333"/>
        </w:rPr>
        <w:t xml:space="preserve">It is also uploaded onto the UBS </w:t>
      </w:r>
      <w:r w:rsidR="00AB5F3F">
        <w:rPr>
          <w:rFonts w:ascii="Calibri" w:eastAsia="Calibri" w:hAnsi="Calibri" w:cs="Calibri"/>
          <w:color w:val="333333"/>
        </w:rPr>
        <w:t>w</w:t>
      </w:r>
      <w:r w:rsidRPr="00631A7B">
        <w:rPr>
          <w:rFonts w:ascii="Calibri" w:eastAsia="Calibri" w:hAnsi="Calibri" w:cs="Calibri"/>
          <w:color w:val="333333"/>
        </w:rPr>
        <w:t>ebsite</w:t>
      </w:r>
      <w:r w:rsidR="003E33E9">
        <w:rPr>
          <w:rFonts w:ascii="Calibri" w:eastAsia="Calibri" w:hAnsi="Calibri" w:cs="Calibri"/>
          <w:color w:val="333333"/>
        </w:rPr>
        <w:t xml:space="preserve"> here: </w:t>
      </w:r>
      <w:hyperlink r:id="rId8" w:history="1">
        <w:r w:rsidR="003E33E9" w:rsidRPr="003E33E9">
          <w:rPr>
            <w:rStyle w:val="Hyperlink"/>
            <w:rFonts w:ascii="Calibri" w:eastAsia="Calibri" w:hAnsi="Calibri" w:cs="Calibri"/>
          </w:rPr>
          <w:t>Researcher's Newsletter | University Biomedical Services (UBS)</w:t>
        </w:r>
      </w:hyperlink>
      <w:r w:rsidRPr="00631A7B">
        <w:rPr>
          <w:rFonts w:ascii="Calibri" w:eastAsia="Calibri" w:hAnsi="Calibri" w:cs="Calibri"/>
          <w:color w:val="333333"/>
        </w:rPr>
        <w:t>. This month there is a focus on finding resources on the website.</w:t>
      </w:r>
    </w:p>
    <w:p w14:paraId="2BF6CEB1" w14:textId="77777777" w:rsidR="002C209B" w:rsidRDefault="002C209B" w:rsidP="00F8406A">
      <w:pPr>
        <w:pStyle w:val="ListParagraph"/>
        <w:spacing w:after="0"/>
        <w:rPr>
          <w:rFonts w:ascii="Calibri" w:eastAsia="Calibri" w:hAnsi="Calibri" w:cs="Calibri"/>
          <w:color w:val="333333"/>
        </w:rPr>
      </w:pPr>
    </w:p>
    <w:p w14:paraId="3B4D4DF8" w14:textId="01825115" w:rsidR="002C209B" w:rsidRDefault="002C209B" w:rsidP="00631A7B">
      <w:pPr>
        <w:pStyle w:val="ListParagraph"/>
        <w:numPr>
          <w:ilvl w:val="0"/>
          <w:numId w:val="16"/>
        </w:numPr>
        <w:spacing w:after="0"/>
        <w:rPr>
          <w:rFonts w:ascii="Calibri" w:eastAsia="Calibri" w:hAnsi="Calibri" w:cs="Calibri"/>
          <w:color w:val="333333"/>
        </w:rPr>
      </w:pPr>
      <w:r w:rsidRPr="00631A7B">
        <w:rPr>
          <w:rFonts w:ascii="Calibri" w:eastAsia="Calibri" w:hAnsi="Calibri" w:cs="Calibri"/>
          <w:color w:val="333333"/>
        </w:rPr>
        <w:t xml:space="preserve">The NIOs and NVS Sophie Kimpton </w:t>
      </w:r>
      <w:r w:rsidR="00AB5F3F">
        <w:rPr>
          <w:rFonts w:ascii="Calibri" w:eastAsia="Calibri" w:hAnsi="Calibri" w:cs="Calibri"/>
          <w:color w:val="333333"/>
        </w:rPr>
        <w:t xml:space="preserve">visited the Mira facility </w:t>
      </w:r>
      <w:r w:rsidR="00E07223">
        <w:rPr>
          <w:rFonts w:ascii="Calibri" w:eastAsia="Calibri" w:hAnsi="Calibri" w:cs="Calibri"/>
          <w:color w:val="333333"/>
        </w:rPr>
        <w:t>17</w:t>
      </w:r>
      <w:r w:rsidR="00E07223" w:rsidRPr="00E07223">
        <w:rPr>
          <w:rFonts w:ascii="Calibri" w:eastAsia="Calibri" w:hAnsi="Calibri" w:cs="Calibri"/>
          <w:color w:val="333333"/>
          <w:vertAlign w:val="superscript"/>
        </w:rPr>
        <w:t>th</w:t>
      </w:r>
      <w:r w:rsidR="00E07223">
        <w:rPr>
          <w:rFonts w:ascii="Calibri" w:eastAsia="Calibri" w:hAnsi="Calibri" w:cs="Calibri"/>
          <w:color w:val="333333"/>
        </w:rPr>
        <w:t xml:space="preserve"> December for a</w:t>
      </w:r>
      <w:r w:rsidR="00AB5F3F">
        <w:rPr>
          <w:rFonts w:ascii="Calibri" w:eastAsia="Calibri" w:hAnsi="Calibri" w:cs="Calibri"/>
          <w:color w:val="333333"/>
        </w:rPr>
        <w:t xml:space="preserve"> 3Rs drop</w:t>
      </w:r>
      <w:r w:rsidR="00E07223">
        <w:rPr>
          <w:rFonts w:ascii="Calibri" w:eastAsia="Calibri" w:hAnsi="Calibri" w:cs="Calibri"/>
          <w:color w:val="333333"/>
        </w:rPr>
        <w:t>-</w:t>
      </w:r>
      <w:r w:rsidR="00AB5F3F">
        <w:rPr>
          <w:rFonts w:ascii="Calibri" w:eastAsia="Calibri" w:hAnsi="Calibri" w:cs="Calibri"/>
          <w:color w:val="333333"/>
        </w:rPr>
        <w:t>in</w:t>
      </w:r>
      <w:r w:rsidR="00E07223">
        <w:rPr>
          <w:rFonts w:ascii="Calibri" w:eastAsia="Calibri" w:hAnsi="Calibri" w:cs="Calibri"/>
          <w:color w:val="333333"/>
        </w:rPr>
        <w:t xml:space="preserve"> to discuss 3Rs activities in the facility and share activities form other facilities already visited</w:t>
      </w:r>
      <w:r w:rsidR="00AB5F3F">
        <w:rPr>
          <w:rFonts w:ascii="Calibri" w:eastAsia="Calibri" w:hAnsi="Calibri" w:cs="Calibri"/>
          <w:color w:val="333333"/>
        </w:rPr>
        <w:t xml:space="preserve">. A </w:t>
      </w:r>
      <w:r w:rsidR="00E07223">
        <w:rPr>
          <w:rFonts w:ascii="Calibri" w:eastAsia="Calibri" w:hAnsi="Calibri" w:cs="Calibri"/>
          <w:color w:val="333333"/>
        </w:rPr>
        <w:t>summary of the visit</w:t>
      </w:r>
      <w:r w:rsidR="00AB5F3F">
        <w:rPr>
          <w:rFonts w:ascii="Calibri" w:eastAsia="Calibri" w:hAnsi="Calibri" w:cs="Calibri"/>
          <w:color w:val="333333"/>
        </w:rPr>
        <w:t xml:space="preserve"> will be shared in next month’s meeting.</w:t>
      </w:r>
    </w:p>
    <w:p w14:paraId="5107EFD1" w14:textId="77777777" w:rsidR="003E33E9" w:rsidRPr="003E33E9" w:rsidRDefault="003E33E9" w:rsidP="003E33E9">
      <w:pPr>
        <w:pStyle w:val="ListParagraph"/>
        <w:rPr>
          <w:rFonts w:ascii="Calibri" w:eastAsia="Calibri" w:hAnsi="Calibri" w:cs="Calibri"/>
          <w:color w:val="333333"/>
        </w:rPr>
      </w:pPr>
    </w:p>
    <w:p w14:paraId="0834BA52" w14:textId="52CD5A11" w:rsidR="003E33E9" w:rsidRDefault="003E33E9" w:rsidP="003E33E9">
      <w:pPr>
        <w:pStyle w:val="ListParagraph"/>
        <w:numPr>
          <w:ilvl w:val="0"/>
          <w:numId w:val="16"/>
        </w:numPr>
        <w:spacing w:after="0"/>
        <w:rPr>
          <w:rFonts w:ascii="Calibri" w:eastAsia="Calibri" w:hAnsi="Calibri" w:cs="Calibri"/>
          <w:color w:val="333333"/>
        </w:rPr>
      </w:pPr>
      <w:hyperlink r:id="rId9" w:tgtFrame="_blank" w:history="1">
        <w:r w:rsidRPr="003E33E9">
          <w:rPr>
            <w:rStyle w:val="Hyperlink"/>
            <w:rFonts w:ascii="Calibri" w:eastAsia="Calibri" w:hAnsi="Calibri" w:cs="Calibri"/>
            <w:b/>
            <w:bCs/>
          </w:rPr>
          <w:t>WORD+2025</w:t>
        </w:r>
      </w:hyperlink>
      <w:r>
        <w:rPr>
          <w:rFonts w:ascii="Calibri" w:eastAsia="Calibri" w:hAnsi="Calibri" w:cs="Calibri"/>
          <w:color w:val="333333"/>
        </w:rPr>
        <w:t xml:space="preserve"> - </w:t>
      </w:r>
      <w:r w:rsidRPr="003E33E9">
        <w:rPr>
          <w:rFonts w:ascii="Calibri" w:eastAsia="Calibri" w:hAnsi="Calibri" w:cs="Calibri"/>
          <w:color w:val="333333"/>
        </w:rPr>
        <w:t>World Organoid &amp; Organ-on-a-chip Research Day</w:t>
      </w:r>
      <w:r w:rsidR="002E2711">
        <w:rPr>
          <w:rFonts w:ascii="Calibri" w:eastAsia="Calibri" w:hAnsi="Calibri" w:cs="Calibri"/>
          <w:color w:val="333333"/>
        </w:rPr>
        <w:t xml:space="preserve"> will be held near Cambridge.</w:t>
      </w:r>
    </w:p>
    <w:p w14:paraId="77039F7F" w14:textId="77777777" w:rsidR="003E33E9" w:rsidRPr="003E33E9" w:rsidRDefault="003E33E9" w:rsidP="003E33E9">
      <w:pPr>
        <w:spacing w:after="0"/>
        <w:rPr>
          <w:rFonts w:ascii="Calibri" w:eastAsia="Calibri" w:hAnsi="Calibri" w:cs="Calibri"/>
          <w:color w:val="333333"/>
        </w:rPr>
      </w:pPr>
    </w:p>
    <w:p w14:paraId="69DC8B5E" w14:textId="6FEC2CC4" w:rsidR="003E33E9" w:rsidRDefault="003E33E9" w:rsidP="003E33E9">
      <w:pPr>
        <w:pStyle w:val="ListParagraph"/>
        <w:spacing w:after="0"/>
        <w:rPr>
          <w:rFonts w:ascii="Calibri" w:eastAsia="Calibri" w:hAnsi="Calibri" w:cs="Calibri"/>
          <w:color w:val="333333"/>
        </w:rPr>
      </w:pPr>
      <w:r w:rsidRPr="003E33E9">
        <w:rPr>
          <w:rFonts w:ascii="Calibri" w:eastAsia="Calibri" w:hAnsi="Calibri" w:cs="Calibri"/>
          <w:color w:val="333333"/>
        </w:rPr>
        <w:t>The full agenda for the World Organoid &amp; Organ-on-a-chip Research Day</w:t>
      </w:r>
      <w:r>
        <w:rPr>
          <w:rFonts w:ascii="Calibri" w:eastAsia="Calibri" w:hAnsi="Calibri" w:cs="Calibri"/>
          <w:color w:val="333333"/>
        </w:rPr>
        <w:t xml:space="preserve"> </w:t>
      </w:r>
      <w:r w:rsidRPr="003E33E9">
        <w:rPr>
          <w:rFonts w:ascii="Calibri" w:eastAsia="Calibri" w:hAnsi="Calibri" w:cs="Calibri"/>
          <w:color w:val="333333"/>
        </w:rPr>
        <w:t xml:space="preserve">taking place in February 2025 near Cambridge is available and poster submissions are now open. Find more information and ticket offers on the </w:t>
      </w:r>
      <w:hyperlink r:id="rId10" w:history="1">
        <w:r w:rsidRPr="003E33E9">
          <w:rPr>
            <w:rStyle w:val="Hyperlink"/>
            <w:rFonts w:ascii="Calibri" w:eastAsia="Calibri" w:hAnsi="Calibri" w:cs="Calibri"/>
          </w:rPr>
          <w:t>WORD+ website</w:t>
        </w:r>
      </w:hyperlink>
      <w:r w:rsidRPr="003E33E9">
        <w:rPr>
          <w:rFonts w:ascii="Calibri" w:eastAsia="Calibri" w:hAnsi="Calibri" w:cs="Calibri"/>
          <w:color w:val="333333"/>
        </w:rPr>
        <w:t xml:space="preserve">. </w:t>
      </w:r>
    </w:p>
    <w:p w14:paraId="1B47E939" w14:textId="77777777" w:rsidR="003E33E9" w:rsidRPr="003E33E9" w:rsidRDefault="003E33E9" w:rsidP="003E33E9">
      <w:pPr>
        <w:pStyle w:val="ListParagraph"/>
        <w:spacing w:after="0"/>
        <w:rPr>
          <w:rFonts w:ascii="Calibri" w:eastAsia="Calibri" w:hAnsi="Calibri" w:cs="Calibri"/>
          <w:color w:val="333333"/>
        </w:rPr>
      </w:pPr>
    </w:p>
    <w:p w14:paraId="4CDB7C19" w14:textId="77777777" w:rsidR="003E33E9" w:rsidRPr="003E33E9" w:rsidRDefault="003E33E9" w:rsidP="003E33E9">
      <w:pPr>
        <w:pStyle w:val="ListParagraph"/>
        <w:spacing w:after="0"/>
        <w:rPr>
          <w:rFonts w:ascii="Calibri" w:eastAsia="Calibri" w:hAnsi="Calibri" w:cs="Calibri"/>
          <w:color w:val="333333"/>
        </w:rPr>
      </w:pPr>
      <w:r w:rsidRPr="003E33E9">
        <w:rPr>
          <w:rFonts w:ascii="Calibri" w:eastAsia="Calibri" w:hAnsi="Calibri" w:cs="Calibri"/>
          <w:color w:val="333333"/>
        </w:rPr>
        <w:t xml:space="preserve">WORD+ attendees and </w:t>
      </w:r>
      <w:hyperlink r:id="rId11" w:history="1">
        <w:r w:rsidRPr="003E33E9">
          <w:rPr>
            <w:rStyle w:val="Hyperlink"/>
            <w:rFonts w:ascii="Calibri" w:eastAsia="Calibri" w:hAnsi="Calibri" w:cs="Calibri"/>
          </w:rPr>
          <w:t>WORC Community</w:t>
        </w:r>
      </w:hyperlink>
      <w:r w:rsidRPr="003E33E9">
        <w:rPr>
          <w:rFonts w:ascii="Calibri" w:eastAsia="Calibri" w:hAnsi="Calibri" w:cs="Calibri"/>
          <w:color w:val="333333"/>
        </w:rPr>
        <w:t xml:space="preserve"> members can benefit from free open access publishing with the journal MDPI Organoids. WORD+ speaker and poster presentations will also feature in a special MDPI Organoids issue. Read more about the journal </w:t>
      </w:r>
      <w:hyperlink r:id="rId12" w:history="1">
        <w:r w:rsidRPr="003E33E9">
          <w:rPr>
            <w:rStyle w:val="Hyperlink"/>
            <w:rFonts w:ascii="Calibri" w:eastAsia="Calibri" w:hAnsi="Calibri" w:cs="Calibri"/>
          </w:rPr>
          <w:t>online</w:t>
        </w:r>
      </w:hyperlink>
      <w:r w:rsidRPr="003E33E9">
        <w:rPr>
          <w:rFonts w:ascii="Calibri" w:eastAsia="Calibri" w:hAnsi="Calibri" w:cs="Calibri"/>
          <w:color w:val="333333"/>
        </w:rPr>
        <w:t xml:space="preserve">. </w:t>
      </w:r>
    </w:p>
    <w:p w14:paraId="2579E9B8" w14:textId="77777777" w:rsidR="003E33E9" w:rsidRDefault="003E33E9" w:rsidP="003E33E9">
      <w:pPr>
        <w:pStyle w:val="ListParagraph"/>
        <w:spacing w:after="0"/>
        <w:rPr>
          <w:rFonts w:ascii="Calibri" w:eastAsia="Calibri" w:hAnsi="Calibri" w:cs="Calibri"/>
          <w:color w:val="333333"/>
        </w:rPr>
      </w:pPr>
    </w:p>
    <w:p w14:paraId="1FB49E21" w14:textId="77777777" w:rsidR="00631A7B" w:rsidRPr="00631A7B" w:rsidRDefault="00631A7B" w:rsidP="00631A7B">
      <w:pPr>
        <w:pStyle w:val="ListParagraph"/>
        <w:rPr>
          <w:rFonts w:ascii="Calibri" w:eastAsia="Calibri" w:hAnsi="Calibri" w:cs="Calibri"/>
          <w:color w:val="333333"/>
        </w:rPr>
      </w:pPr>
    </w:p>
    <w:p w14:paraId="1ACEABAC" w14:textId="6C4D06C4" w:rsidR="35275840" w:rsidRPr="006449FD" w:rsidRDefault="35275840" w:rsidP="5D349FD1">
      <w:pPr>
        <w:rPr>
          <w:rFonts w:ascii="Calibri" w:eastAsia="Calibri" w:hAnsi="Calibri" w:cs="Calibri"/>
          <w:color w:val="333333"/>
        </w:rPr>
      </w:pPr>
      <w:r w:rsidRPr="63AB13CE">
        <w:rPr>
          <w:rFonts w:ascii="Calibri" w:eastAsia="Calibri" w:hAnsi="Calibri" w:cs="Calibri"/>
          <w:b/>
          <w:bCs/>
        </w:rPr>
        <w:t>Standard Condition 18</w:t>
      </w:r>
      <w:r w:rsidR="002E2711">
        <w:rPr>
          <w:rFonts w:ascii="Calibri" w:eastAsia="Calibri" w:hAnsi="Calibri" w:cs="Calibri"/>
          <w:b/>
          <w:bCs/>
        </w:rPr>
        <w:t xml:space="preserve"> (SC18)</w:t>
      </w:r>
      <w:r w:rsidRPr="63AB13CE">
        <w:rPr>
          <w:rFonts w:ascii="Calibri" w:eastAsia="Calibri" w:hAnsi="Calibri" w:cs="Calibri"/>
          <w:b/>
          <w:bCs/>
        </w:rPr>
        <w:t xml:space="preserve"> repor</w:t>
      </w:r>
      <w:r w:rsidR="26366117" w:rsidRPr="63AB13CE">
        <w:rPr>
          <w:rFonts w:ascii="Calibri" w:eastAsia="Calibri" w:hAnsi="Calibri" w:cs="Calibri"/>
          <w:b/>
          <w:bCs/>
        </w:rPr>
        <w:t>ts.</w:t>
      </w:r>
      <w:r w:rsidRPr="63AB13CE">
        <w:rPr>
          <w:rFonts w:ascii="Calibri" w:eastAsia="Calibri" w:hAnsi="Calibri" w:cs="Calibri"/>
          <w:b/>
          <w:bCs/>
        </w:rPr>
        <w:t xml:space="preserve"> </w:t>
      </w:r>
    </w:p>
    <w:p w14:paraId="1B1FAAC5" w14:textId="67442BC9" w:rsidR="35275840" w:rsidRDefault="003E33E9" w:rsidP="002E2711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Chart</w:t>
      </w:r>
      <w:r w:rsidR="35275840" w:rsidRPr="63AB13CE"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 xml:space="preserve">below </w:t>
      </w:r>
      <w:r w:rsidR="35275840" w:rsidRPr="63AB13CE">
        <w:rPr>
          <w:rFonts w:ascii="Calibri" w:eastAsia="Calibri" w:hAnsi="Calibri" w:cs="Calibri"/>
        </w:rPr>
        <w:t xml:space="preserve">shows the total number of </w:t>
      </w:r>
      <w:r>
        <w:rPr>
          <w:rFonts w:ascii="Calibri" w:eastAsia="Calibri" w:hAnsi="Calibri" w:cs="Calibri"/>
        </w:rPr>
        <w:t>SC</w:t>
      </w:r>
      <w:r w:rsidR="35275840" w:rsidRPr="63AB13CE">
        <w:rPr>
          <w:rFonts w:ascii="Calibri" w:eastAsia="Calibri" w:hAnsi="Calibri" w:cs="Calibri"/>
        </w:rPr>
        <w:t xml:space="preserve">18 reports </w:t>
      </w:r>
      <w:r>
        <w:rPr>
          <w:rFonts w:ascii="Calibri" w:eastAsia="Calibri" w:hAnsi="Calibri" w:cs="Calibri"/>
        </w:rPr>
        <w:t xml:space="preserve">and animals involved </w:t>
      </w:r>
      <w:r w:rsidR="35275840" w:rsidRPr="63AB13CE">
        <w:rPr>
          <w:rFonts w:ascii="Calibri" w:eastAsia="Calibri" w:hAnsi="Calibri" w:cs="Calibri"/>
        </w:rPr>
        <w:t xml:space="preserve">submitted </w:t>
      </w:r>
      <w:r>
        <w:rPr>
          <w:rFonts w:ascii="Calibri" w:eastAsia="Calibri" w:hAnsi="Calibri" w:cs="Calibri"/>
        </w:rPr>
        <w:t>between</w:t>
      </w:r>
      <w:r w:rsidR="4A0FB938" w:rsidRPr="63AB13CE">
        <w:rPr>
          <w:rFonts w:ascii="Calibri" w:eastAsia="Calibri" w:hAnsi="Calibri" w:cs="Calibri"/>
        </w:rPr>
        <w:t xml:space="preserve"> Jan 23 to </w:t>
      </w:r>
      <w:r w:rsidR="002E2711">
        <w:rPr>
          <w:rFonts w:ascii="Calibri" w:eastAsia="Calibri" w:hAnsi="Calibri" w:cs="Calibri"/>
        </w:rPr>
        <w:t>m</w:t>
      </w:r>
      <w:r w:rsidR="002E2711" w:rsidRPr="63AB13CE">
        <w:rPr>
          <w:rFonts w:ascii="Calibri" w:eastAsia="Calibri" w:hAnsi="Calibri" w:cs="Calibri"/>
        </w:rPr>
        <w:t>id-</w:t>
      </w:r>
      <w:r w:rsidR="002E2711">
        <w:rPr>
          <w:rFonts w:ascii="Calibri" w:eastAsia="Calibri" w:hAnsi="Calibri" w:cs="Calibri"/>
        </w:rPr>
        <w:t>Dec</w:t>
      </w:r>
      <w:r w:rsidR="4A0FB938" w:rsidRPr="63AB13CE">
        <w:rPr>
          <w:rFonts w:ascii="Calibri" w:eastAsia="Calibri" w:hAnsi="Calibri" w:cs="Calibri"/>
        </w:rPr>
        <w:t xml:space="preserve"> 24</w:t>
      </w:r>
      <w:r w:rsidR="35275840" w:rsidRPr="63AB13CE">
        <w:rPr>
          <w:rFonts w:ascii="Calibri" w:eastAsia="Calibri" w:hAnsi="Calibri" w:cs="Calibri"/>
        </w:rPr>
        <w:t>.</w:t>
      </w:r>
    </w:p>
    <w:p w14:paraId="3DB43849" w14:textId="67639729" w:rsidR="35275840" w:rsidRDefault="006449FD" w:rsidP="63AB13CE">
      <w:r>
        <w:rPr>
          <w:noProof/>
        </w:rPr>
        <w:drawing>
          <wp:inline distT="0" distB="0" distL="0" distR="0" wp14:anchorId="72AAE186" wp14:editId="7196CAEA">
            <wp:extent cx="6645910" cy="3733165"/>
            <wp:effectExtent l="0" t="0" r="2540" b="635"/>
            <wp:docPr id="132972478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FE99981-5E43-7E21-36B9-68CDCB4B420A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CA026F4" w14:textId="22CE670F" w:rsidR="4814B48B" w:rsidRDefault="006449FD" w:rsidP="4E1FDC31">
      <w:r>
        <w:t xml:space="preserve">*March </w:t>
      </w:r>
      <w:r w:rsidR="003E33E9">
        <w:t xml:space="preserve">2024 </w:t>
      </w:r>
      <w:r>
        <w:t xml:space="preserve">spike in animal numbers </w:t>
      </w:r>
      <w:r w:rsidR="003E33E9">
        <w:t>was</w:t>
      </w:r>
      <w:r>
        <w:t xml:space="preserve"> due to a miscount</w:t>
      </w:r>
      <w:r w:rsidR="002E2711">
        <w:t>ing</w:t>
      </w:r>
      <w:r>
        <w:t xml:space="preserve"> of </w:t>
      </w:r>
      <w:r w:rsidR="002E2711">
        <w:t xml:space="preserve">mouse </w:t>
      </w:r>
      <w:r>
        <w:t>pups.</w:t>
      </w:r>
    </w:p>
    <w:p w14:paraId="7937C7F1" w14:textId="2A399019" w:rsidR="7CEFE9EF" w:rsidRDefault="7CEFE9EF" w:rsidP="7CEFE9EF"/>
    <w:p w14:paraId="434D091D" w14:textId="77777777" w:rsidR="003E33E9" w:rsidRDefault="003E33E9" w:rsidP="17EC242D">
      <w:pPr>
        <w:rPr>
          <w:rFonts w:ascii="Calibri" w:eastAsia="Calibri" w:hAnsi="Calibri" w:cs="Calibri"/>
        </w:rPr>
      </w:pPr>
    </w:p>
    <w:p w14:paraId="5CB78563" w14:textId="05FB2AD0" w:rsidR="2C6344AE" w:rsidRDefault="2425DB14" w:rsidP="002E2711">
      <w:pPr>
        <w:jc w:val="center"/>
        <w:rPr>
          <w:rFonts w:ascii="Calibri" w:eastAsia="Calibri" w:hAnsi="Calibri" w:cs="Calibri"/>
        </w:rPr>
      </w:pPr>
      <w:r w:rsidRPr="63AB13CE">
        <w:rPr>
          <w:rFonts w:ascii="Calibri" w:eastAsia="Calibri" w:hAnsi="Calibri" w:cs="Calibri"/>
        </w:rPr>
        <w:lastRenderedPageBreak/>
        <w:t xml:space="preserve">This pie chart shows a breakdown of clinical signs for </w:t>
      </w:r>
      <w:r w:rsidR="00AB5F3F">
        <w:rPr>
          <w:rFonts w:ascii="Calibri" w:eastAsia="Calibri" w:hAnsi="Calibri" w:cs="Calibri"/>
        </w:rPr>
        <w:t>November</w:t>
      </w:r>
      <w:r w:rsidR="002E2711">
        <w:rPr>
          <w:rFonts w:ascii="Calibri" w:eastAsia="Calibri" w:hAnsi="Calibri" w:cs="Calibri"/>
        </w:rPr>
        <w:t xml:space="preserve"> 24.</w:t>
      </w:r>
    </w:p>
    <w:p w14:paraId="5A63DD43" w14:textId="4E3BD9FF" w:rsidR="2C6344AE" w:rsidRDefault="006449FD" w:rsidP="2C6344AE">
      <w:pPr>
        <w:spacing w:after="0"/>
      </w:pPr>
      <w:r>
        <w:rPr>
          <w:noProof/>
        </w:rPr>
        <w:drawing>
          <wp:inline distT="0" distB="0" distL="0" distR="0" wp14:anchorId="6926E16D" wp14:editId="12C1A266">
            <wp:extent cx="6645910" cy="3863340"/>
            <wp:effectExtent l="0" t="0" r="2540" b="3810"/>
            <wp:docPr id="23203940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8E08350-2B80-8CE1-168C-C700A4C754F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1012FF5B" w14:textId="38809068" w:rsidR="2C6344AE" w:rsidRDefault="2C6344AE" w:rsidP="2C6344AE">
      <w:pPr>
        <w:rPr>
          <w:rFonts w:ascii="Calibri" w:eastAsia="Calibri" w:hAnsi="Calibri" w:cs="Calibri"/>
        </w:rPr>
      </w:pPr>
    </w:p>
    <w:p w14:paraId="350A52BD" w14:textId="4F051BAD" w:rsidR="00135C2E" w:rsidRPr="00056F14" w:rsidRDefault="00135C2E" w:rsidP="7CEFE9EF"/>
    <w:sectPr w:rsidR="00135C2E" w:rsidRPr="00056F14"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shalp1x9yNDIf7" int2:id="adDLIGg5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FFCC94"/>
    <w:multiLevelType w:val="hybridMultilevel"/>
    <w:tmpl w:val="42FACDF0"/>
    <w:lvl w:ilvl="0" w:tplc="F7ECB1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3A0751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888D9F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5CB22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2D66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268A8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7865B3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73E3F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85A4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0A30EB"/>
    <w:multiLevelType w:val="hybridMultilevel"/>
    <w:tmpl w:val="DF78B0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D65EA9"/>
    <w:multiLevelType w:val="hybridMultilevel"/>
    <w:tmpl w:val="B37AF00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5DAB8"/>
    <w:multiLevelType w:val="hybridMultilevel"/>
    <w:tmpl w:val="0626416C"/>
    <w:lvl w:ilvl="0" w:tplc="5B5E86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9CCEA2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A668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7ADF8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42BF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67AB3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7079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A2CD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51EC51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571ED7"/>
    <w:multiLevelType w:val="hybridMultilevel"/>
    <w:tmpl w:val="AC4C5E3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AA8B762"/>
    <w:multiLevelType w:val="hybridMultilevel"/>
    <w:tmpl w:val="E2AA1E48"/>
    <w:lvl w:ilvl="0" w:tplc="307088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6149E7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94556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F665D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A418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2A2154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A64A1C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E0263C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06425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2F5605"/>
    <w:multiLevelType w:val="hybridMultilevel"/>
    <w:tmpl w:val="E612BE76"/>
    <w:lvl w:ilvl="0" w:tplc="25A81E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FADD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30CDA3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F56A1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F8A4DD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DC2D36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DC6328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79681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E5066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37C18AD"/>
    <w:multiLevelType w:val="hybridMultilevel"/>
    <w:tmpl w:val="390876B4"/>
    <w:lvl w:ilvl="0" w:tplc="7DB8A4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8967A1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45414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4D8BA7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909A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CE4C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FECF8B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9855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8F6EA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D7BDD"/>
    <w:multiLevelType w:val="hybridMultilevel"/>
    <w:tmpl w:val="5ADAD8B0"/>
    <w:lvl w:ilvl="0" w:tplc="62BAEC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DA070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DA6597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A4A7C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3143E3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DB038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D0C0E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FBCB1F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0246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C580BE5"/>
    <w:multiLevelType w:val="hybridMultilevel"/>
    <w:tmpl w:val="F2CAF908"/>
    <w:lvl w:ilvl="0" w:tplc="534E56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5E120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FEEAE1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027B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3850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2B6983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520E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C186A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6A03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6BEBF8"/>
    <w:multiLevelType w:val="hybridMultilevel"/>
    <w:tmpl w:val="1CE0222E"/>
    <w:lvl w:ilvl="0" w:tplc="9EC68BD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5A36E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480A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9B84C4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2A55B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4FE08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35C37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1C2294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CA6FA5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F232DD"/>
    <w:multiLevelType w:val="hybridMultilevel"/>
    <w:tmpl w:val="6F2E9018"/>
    <w:lvl w:ilvl="0" w:tplc="688085D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000000"/>
        <w:sz w:val="22"/>
        <w:szCs w:val="22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B2A7BBA"/>
    <w:multiLevelType w:val="hybridMultilevel"/>
    <w:tmpl w:val="AA8E78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192829"/>
    <w:multiLevelType w:val="hybridMultilevel"/>
    <w:tmpl w:val="C2246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AD77E4"/>
    <w:multiLevelType w:val="hybridMultilevel"/>
    <w:tmpl w:val="9F8C2CA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FF1EAB"/>
    <w:multiLevelType w:val="hybridMultilevel"/>
    <w:tmpl w:val="2CE84DE0"/>
    <w:lvl w:ilvl="0" w:tplc="2310A7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3081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965A6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A21FE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D7E722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BD2807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3D225C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56E4A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2E7F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84A502"/>
    <w:multiLevelType w:val="hybridMultilevel"/>
    <w:tmpl w:val="BAC8FF5E"/>
    <w:lvl w:ilvl="0" w:tplc="4F2C9A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41835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6FAE23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66718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60E0E9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2244B6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A9C408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E806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1D0520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5D1467"/>
    <w:multiLevelType w:val="hybridMultilevel"/>
    <w:tmpl w:val="B1B86256"/>
    <w:lvl w:ilvl="0" w:tplc="DD221E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44C90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D26388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80DC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0E78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CE3D4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3CB39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7204FC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DA2CD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EA3374"/>
    <w:multiLevelType w:val="hybridMultilevel"/>
    <w:tmpl w:val="543843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C60A6B5"/>
    <w:multiLevelType w:val="hybridMultilevel"/>
    <w:tmpl w:val="12B051E2"/>
    <w:lvl w:ilvl="0" w:tplc="BE729E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2B853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900CF0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EA4A5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CAAA0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58ABFB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21AD36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04CB2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97AF2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EE3A302"/>
    <w:multiLevelType w:val="hybridMultilevel"/>
    <w:tmpl w:val="750A9704"/>
    <w:lvl w:ilvl="0" w:tplc="1C2E8B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00869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7CE7FA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58CFB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E8840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8DA253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AAEB7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A102EB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7A5E2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DE23B7"/>
    <w:multiLevelType w:val="hybridMultilevel"/>
    <w:tmpl w:val="58368F16"/>
    <w:lvl w:ilvl="0" w:tplc="CBA64FA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A9E10B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39A2FA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78AA8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52253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BEF67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623F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BE08E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C6462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2F163AD"/>
    <w:multiLevelType w:val="hybridMultilevel"/>
    <w:tmpl w:val="7BE20B4E"/>
    <w:lvl w:ilvl="0" w:tplc="23B43C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226C8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F4CEE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95AEC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FC4F5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E6EA5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C7023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BB8DA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2D609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2381951">
    <w:abstractNumId w:val="20"/>
  </w:num>
  <w:num w:numId="2" w16cid:durableId="381713807">
    <w:abstractNumId w:val="8"/>
  </w:num>
  <w:num w:numId="3" w16cid:durableId="832839529">
    <w:abstractNumId w:val="16"/>
  </w:num>
  <w:num w:numId="4" w16cid:durableId="555941917">
    <w:abstractNumId w:val="0"/>
  </w:num>
  <w:num w:numId="5" w16cid:durableId="1521356684">
    <w:abstractNumId w:val="19"/>
  </w:num>
  <w:num w:numId="6" w16cid:durableId="987786720">
    <w:abstractNumId w:val="21"/>
  </w:num>
  <w:num w:numId="7" w16cid:durableId="534199001">
    <w:abstractNumId w:val="10"/>
  </w:num>
  <w:num w:numId="8" w16cid:durableId="243875292">
    <w:abstractNumId w:val="3"/>
  </w:num>
  <w:num w:numId="9" w16cid:durableId="2113162097">
    <w:abstractNumId w:val="17"/>
  </w:num>
  <w:num w:numId="10" w16cid:durableId="1676808055">
    <w:abstractNumId w:val="15"/>
  </w:num>
  <w:num w:numId="11" w16cid:durableId="1108812766">
    <w:abstractNumId w:val="9"/>
  </w:num>
  <w:num w:numId="12" w16cid:durableId="492844151">
    <w:abstractNumId w:val="18"/>
  </w:num>
  <w:num w:numId="13" w16cid:durableId="322658258">
    <w:abstractNumId w:val="1"/>
  </w:num>
  <w:num w:numId="14" w16cid:durableId="1418940585">
    <w:abstractNumId w:val="12"/>
  </w:num>
  <w:num w:numId="15" w16cid:durableId="979462871">
    <w:abstractNumId w:val="4"/>
  </w:num>
  <w:num w:numId="16" w16cid:durableId="1844397504">
    <w:abstractNumId w:val="2"/>
  </w:num>
  <w:num w:numId="17" w16cid:durableId="313880724">
    <w:abstractNumId w:val="14"/>
  </w:num>
  <w:num w:numId="18" w16cid:durableId="1514685523">
    <w:abstractNumId w:val="6"/>
  </w:num>
  <w:num w:numId="19" w16cid:durableId="1325476435">
    <w:abstractNumId w:val="7"/>
  </w:num>
  <w:num w:numId="20" w16cid:durableId="1189876754">
    <w:abstractNumId w:val="22"/>
  </w:num>
  <w:num w:numId="21" w16cid:durableId="1015812498">
    <w:abstractNumId w:val="5"/>
  </w:num>
  <w:num w:numId="22" w16cid:durableId="764350422">
    <w:abstractNumId w:val="13"/>
  </w:num>
  <w:num w:numId="23" w16cid:durableId="873229446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DAD8930"/>
    <w:rsid w:val="00016F9F"/>
    <w:rsid w:val="00056F14"/>
    <w:rsid w:val="00085385"/>
    <w:rsid w:val="000D8FB6"/>
    <w:rsid w:val="00135C2E"/>
    <w:rsid w:val="00213E97"/>
    <w:rsid w:val="002B30C8"/>
    <w:rsid w:val="002C209B"/>
    <w:rsid w:val="002E2711"/>
    <w:rsid w:val="002F3F17"/>
    <w:rsid w:val="003E0001"/>
    <w:rsid w:val="003E33E9"/>
    <w:rsid w:val="0040512C"/>
    <w:rsid w:val="00407366"/>
    <w:rsid w:val="0043292F"/>
    <w:rsid w:val="0044263D"/>
    <w:rsid w:val="004665C6"/>
    <w:rsid w:val="004C4612"/>
    <w:rsid w:val="004F6E7D"/>
    <w:rsid w:val="00515C94"/>
    <w:rsid w:val="0055544E"/>
    <w:rsid w:val="00564566"/>
    <w:rsid w:val="005A3834"/>
    <w:rsid w:val="005B7AD5"/>
    <w:rsid w:val="00615210"/>
    <w:rsid w:val="00631A7B"/>
    <w:rsid w:val="00641478"/>
    <w:rsid w:val="006449FD"/>
    <w:rsid w:val="00665736"/>
    <w:rsid w:val="00675E29"/>
    <w:rsid w:val="006A0EE1"/>
    <w:rsid w:val="006C3D59"/>
    <w:rsid w:val="006F0F77"/>
    <w:rsid w:val="00705E72"/>
    <w:rsid w:val="00722FBF"/>
    <w:rsid w:val="007242E6"/>
    <w:rsid w:val="007406E1"/>
    <w:rsid w:val="007553B3"/>
    <w:rsid w:val="008322F7"/>
    <w:rsid w:val="0084606D"/>
    <w:rsid w:val="00860C37"/>
    <w:rsid w:val="008738A0"/>
    <w:rsid w:val="00894832"/>
    <w:rsid w:val="00956573"/>
    <w:rsid w:val="00991EDD"/>
    <w:rsid w:val="00A064B9"/>
    <w:rsid w:val="00A61F01"/>
    <w:rsid w:val="00AB5F3F"/>
    <w:rsid w:val="00B2553B"/>
    <w:rsid w:val="00B4475E"/>
    <w:rsid w:val="00BA6A9E"/>
    <w:rsid w:val="00BB4BAC"/>
    <w:rsid w:val="00BC7CAB"/>
    <w:rsid w:val="00BD0F49"/>
    <w:rsid w:val="00BE4E7A"/>
    <w:rsid w:val="00C0218F"/>
    <w:rsid w:val="00C24891"/>
    <w:rsid w:val="00C32F44"/>
    <w:rsid w:val="00D2264A"/>
    <w:rsid w:val="00D337D8"/>
    <w:rsid w:val="00D34FB3"/>
    <w:rsid w:val="00D37864"/>
    <w:rsid w:val="00D548AC"/>
    <w:rsid w:val="00D61873"/>
    <w:rsid w:val="00D63636"/>
    <w:rsid w:val="00DC0462"/>
    <w:rsid w:val="00DD073D"/>
    <w:rsid w:val="00DE119C"/>
    <w:rsid w:val="00E04B85"/>
    <w:rsid w:val="00E07223"/>
    <w:rsid w:val="00E40402"/>
    <w:rsid w:val="00E77188"/>
    <w:rsid w:val="00EB1200"/>
    <w:rsid w:val="00EE4A17"/>
    <w:rsid w:val="00F474B3"/>
    <w:rsid w:val="00F8406A"/>
    <w:rsid w:val="00FD7A33"/>
    <w:rsid w:val="00FE2316"/>
    <w:rsid w:val="018A964E"/>
    <w:rsid w:val="01C06115"/>
    <w:rsid w:val="01CE2B13"/>
    <w:rsid w:val="020B6AD9"/>
    <w:rsid w:val="021A5C19"/>
    <w:rsid w:val="045A2160"/>
    <w:rsid w:val="04796715"/>
    <w:rsid w:val="04D15B66"/>
    <w:rsid w:val="04F801D7"/>
    <w:rsid w:val="05B8C63B"/>
    <w:rsid w:val="06128DE4"/>
    <w:rsid w:val="06210752"/>
    <w:rsid w:val="06746344"/>
    <w:rsid w:val="0674B0E6"/>
    <w:rsid w:val="0693D238"/>
    <w:rsid w:val="06D7FD40"/>
    <w:rsid w:val="07F04D49"/>
    <w:rsid w:val="09612DC8"/>
    <w:rsid w:val="099688ED"/>
    <w:rsid w:val="0A66C4F2"/>
    <w:rsid w:val="0BC92BE5"/>
    <w:rsid w:val="0CDE9412"/>
    <w:rsid w:val="0DAD8930"/>
    <w:rsid w:val="0E864229"/>
    <w:rsid w:val="0F00CCA7"/>
    <w:rsid w:val="0F031E66"/>
    <w:rsid w:val="0F8331A6"/>
    <w:rsid w:val="10598087"/>
    <w:rsid w:val="109623EA"/>
    <w:rsid w:val="123D0D61"/>
    <w:rsid w:val="12A64857"/>
    <w:rsid w:val="1487E725"/>
    <w:rsid w:val="152FE82F"/>
    <w:rsid w:val="15387010"/>
    <w:rsid w:val="15700E2B"/>
    <w:rsid w:val="1753AD16"/>
    <w:rsid w:val="175D0747"/>
    <w:rsid w:val="176E7225"/>
    <w:rsid w:val="17EC242D"/>
    <w:rsid w:val="1843D8EA"/>
    <w:rsid w:val="18EA9632"/>
    <w:rsid w:val="19DFA94B"/>
    <w:rsid w:val="19F455AF"/>
    <w:rsid w:val="1C41DE35"/>
    <w:rsid w:val="1E1F14F6"/>
    <w:rsid w:val="1E8647D8"/>
    <w:rsid w:val="1EED0EC7"/>
    <w:rsid w:val="1F685B4D"/>
    <w:rsid w:val="1FAAD8F7"/>
    <w:rsid w:val="20410DDE"/>
    <w:rsid w:val="2082CCB7"/>
    <w:rsid w:val="20A73106"/>
    <w:rsid w:val="210C518C"/>
    <w:rsid w:val="2110E9BB"/>
    <w:rsid w:val="21592F83"/>
    <w:rsid w:val="2170BCAB"/>
    <w:rsid w:val="21C46CD4"/>
    <w:rsid w:val="21C493D2"/>
    <w:rsid w:val="21D192D3"/>
    <w:rsid w:val="22ACBA1C"/>
    <w:rsid w:val="2425DB14"/>
    <w:rsid w:val="24602A08"/>
    <w:rsid w:val="246F5578"/>
    <w:rsid w:val="2576498F"/>
    <w:rsid w:val="25DDD951"/>
    <w:rsid w:val="26366117"/>
    <w:rsid w:val="286C4C33"/>
    <w:rsid w:val="28B509B9"/>
    <w:rsid w:val="28E91685"/>
    <w:rsid w:val="29986D4D"/>
    <w:rsid w:val="29D549AA"/>
    <w:rsid w:val="2A1FD1CE"/>
    <w:rsid w:val="2A8442BA"/>
    <w:rsid w:val="2B5C36F4"/>
    <w:rsid w:val="2C20131B"/>
    <w:rsid w:val="2C6344AE"/>
    <w:rsid w:val="2D713BB7"/>
    <w:rsid w:val="2E52B613"/>
    <w:rsid w:val="2E6FDA06"/>
    <w:rsid w:val="2EA0C87D"/>
    <w:rsid w:val="2EE7AD7F"/>
    <w:rsid w:val="2F25668D"/>
    <w:rsid w:val="2F953C9F"/>
    <w:rsid w:val="2FD4AC11"/>
    <w:rsid w:val="30F41F10"/>
    <w:rsid w:val="3104EFB5"/>
    <w:rsid w:val="31155E0C"/>
    <w:rsid w:val="32780FBD"/>
    <w:rsid w:val="32B50784"/>
    <w:rsid w:val="34569199"/>
    <w:rsid w:val="34B5507C"/>
    <w:rsid w:val="35275840"/>
    <w:rsid w:val="361CF551"/>
    <w:rsid w:val="37889C57"/>
    <w:rsid w:val="37B8C5B2"/>
    <w:rsid w:val="388A4DFA"/>
    <w:rsid w:val="3911D0FD"/>
    <w:rsid w:val="393192B7"/>
    <w:rsid w:val="393A0CF0"/>
    <w:rsid w:val="3A892BAD"/>
    <w:rsid w:val="3A9414C7"/>
    <w:rsid w:val="3BAB9FE2"/>
    <w:rsid w:val="3C381D32"/>
    <w:rsid w:val="3CE16E0E"/>
    <w:rsid w:val="3DBA9933"/>
    <w:rsid w:val="3E10DE19"/>
    <w:rsid w:val="3FA0D43B"/>
    <w:rsid w:val="3FD5F214"/>
    <w:rsid w:val="3FDC09C2"/>
    <w:rsid w:val="409C20F1"/>
    <w:rsid w:val="410B539D"/>
    <w:rsid w:val="4147CC67"/>
    <w:rsid w:val="43100CA1"/>
    <w:rsid w:val="440CF024"/>
    <w:rsid w:val="44D8658E"/>
    <w:rsid w:val="45DCF6FE"/>
    <w:rsid w:val="460D40A2"/>
    <w:rsid w:val="4647AD63"/>
    <w:rsid w:val="4665D67D"/>
    <w:rsid w:val="467435EF"/>
    <w:rsid w:val="46CA02B5"/>
    <w:rsid w:val="47672CFD"/>
    <w:rsid w:val="4814B48B"/>
    <w:rsid w:val="4830A84C"/>
    <w:rsid w:val="4896B5B5"/>
    <w:rsid w:val="48C7F386"/>
    <w:rsid w:val="49175EBD"/>
    <w:rsid w:val="4A0FB938"/>
    <w:rsid w:val="4A328616"/>
    <w:rsid w:val="4A82D711"/>
    <w:rsid w:val="4AB5ACE2"/>
    <w:rsid w:val="4B1E0DF4"/>
    <w:rsid w:val="4BB0FB79"/>
    <w:rsid w:val="4BCA23D6"/>
    <w:rsid w:val="4BD675C2"/>
    <w:rsid w:val="4C0EDA76"/>
    <w:rsid w:val="4C82A61C"/>
    <w:rsid w:val="4DEAFC4A"/>
    <w:rsid w:val="4E1FDC31"/>
    <w:rsid w:val="4E39AEE0"/>
    <w:rsid w:val="4E5EA9C8"/>
    <w:rsid w:val="4FE32C39"/>
    <w:rsid w:val="50981124"/>
    <w:rsid w:val="509AEAFE"/>
    <w:rsid w:val="52246F9E"/>
    <w:rsid w:val="5434F6E6"/>
    <w:rsid w:val="544E1F43"/>
    <w:rsid w:val="54507102"/>
    <w:rsid w:val="54EE3E84"/>
    <w:rsid w:val="56DDCCA6"/>
    <w:rsid w:val="576C97A8"/>
    <w:rsid w:val="59086809"/>
    <w:rsid w:val="59158A21"/>
    <w:rsid w:val="59928BE5"/>
    <w:rsid w:val="5A41061D"/>
    <w:rsid w:val="5B23C06A"/>
    <w:rsid w:val="5BC58303"/>
    <w:rsid w:val="5C4D9F3F"/>
    <w:rsid w:val="5CC70C16"/>
    <w:rsid w:val="5D2DC1B3"/>
    <w:rsid w:val="5D349FD1"/>
    <w:rsid w:val="5E1E2AA7"/>
    <w:rsid w:val="5EC7AE99"/>
    <w:rsid w:val="5F06AD8B"/>
    <w:rsid w:val="601B7389"/>
    <w:rsid w:val="60481A96"/>
    <w:rsid w:val="6092EA23"/>
    <w:rsid w:val="621DE5CE"/>
    <w:rsid w:val="6223EFF4"/>
    <w:rsid w:val="624A782D"/>
    <w:rsid w:val="62D3DFE6"/>
    <w:rsid w:val="636C6792"/>
    <w:rsid w:val="6377183B"/>
    <w:rsid w:val="63AB13CE"/>
    <w:rsid w:val="63CBD9AD"/>
    <w:rsid w:val="643AA257"/>
    <w:rsid w:val="644B1AB0"/>
    <w:rsid w:val="6A2FEA82"/>
    <w:rsid w:val="6A3D69AC"/>
    <w:rsid w:val="6AA2A533"/>
    <w:rsid w:val="6B5CF12B"/>
    <w:rsid w:val="6BC9E7D9"/>
    <w:rsid w:val="6C3106AA"/>
    <w:rsid w:val="6C42C1CA"/>
    <w:rsid w:val="6CE51D66"/>
    <w:rsid w:val="6CF12579"/>
    <w:rsid w:val="6CFA217B"/>
    <w:rsid w:val="6DC4A117"/>
    <w:rsid w:val="6ECC978C"/>
    <w:rsid w:val="6F03A8F8"/>
    <w:rsid w:val="6F148676"/>
    <w:rsid w:val="6FA9D4E6"/>
    <w:rsid w:val="701FCDEE"/>
    <w:rsid w:val="70281018"/>
    <w:rsid w:val="70996B53"/>
    <w:rsid w:val="70B08162"/>
    <w:rsid w:val="71B567F3"/>
    <w:rsid w:val="71C2B9E4"/>
    <w:rsid w:val="71ED3D6A"/>
    <w:rsid w:val="72992FBA"/>
    <w:rsid w:val="7358317E"/>
    <w:rsid w:val="7453D06C"/>
    <w:rsid w:val="749EC488"/>
    <w:rsid w:val="753EF7C0"/>
    <w:rsid w:val="7572EA7C"/>
    <w:rsid w:val="763CE10E"/>
    <w:rsid w:val="777EB62C"/>
    <w:rsid w:val="77D51EF6"/>
    <w:rsid w:val="77EE6A07"/>
    <w:rsid w:val="78FF2309"/>
    <w:rsid w:val="7A629B42"/>
    <w:rsid w:val="7A709F16"/>
    <w:rsid w:val="7ADD176C"/>
    <w:rsid w:val="7B3A1E92"/>
    <w:rsid w:val="7CB0628B"/>
    <w:rsid w:val="7CEFE9EF"/>
    <w:rsid w:val="7D995406"/>
    <w:rsid w:val="7E1F82B5"/>
    <w:rsid w:val="7FA5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AD8930"/>
  <w15:docId w15:val="{344A886F-F979-4056-A41C-E01710086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544E"/>
    <w:pPr>
      <w:ind w:left="720"/>
      <w:contextualSpacing/>
    </w:pPr>
  </w:style>
  <w:style w:type="paragraph" w:styleId="Revision">
    <w:name w:val="Revision"/>
    <w:hidden/>
    <w:uiPriority w:val="99"/>
    <w:semiHidden/>
    <w:rsid w:val="0055544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54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44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7406E1"/>
    <w:rPr>
      <w:rFonts w:ascii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860C37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631A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C04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C04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04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04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046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497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8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4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3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bs.admin.cam.ac.uk/researchers-newsletter" TargetMode="External"/><Relationship Id="rId13" Type="http://schemas.openxmlformats.org/officeDocument/2006/relationships/chart" Target="charts/chart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eur03.safelinks.protection.outlook.com/?url=https%3A%2F%2Fwww.worc.community%2Fpages%2FMDPIpublishingorganoids&amp;data=05%7C02%7Caw2086%40universityofcambridgecloud.onmicrosoft.com%7C0ee9e031971249863e4d08dd1dd73af1%7C49a50445bdfa4b79ade3547b4f3986e9%7C1%7C0%7C638699534520124996%7CUnknown%7CTWFpbGZsb3d8eyJFbXB0eU1hcGkiOnRydWUsIlYiOiIwLjAuMDAwMCIsIlAiOiJXaW4zMiIsIkFOIjoiTWFpbCIsIldUIjoyfQ%3D%3D%7C80000%7C%7C%7C&amp;sdata=V%2BStznLLEPllHa9gxUhYgXkQiXzGbNGH4myGwcQULDU%3D&amp;reserved=0" TargetMode="External"/><Relationship Id="rId17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eur03.safelinks.protection.outlook.com/?url=https%3A%2F%2Fwww.worc.community%2F&amp;data=05%7C02%7Caw2086%40universityofcambridgecloud.onmicrosoft.com%7C0ee9e031971249863e4d08dd1dd73af1%7C49a50445bdfa4b79ade3547b4f3986e9%7C1%7C0%7C638699534520105224%7CUnknown%7CTWFpbGZsb3d8eyJFbXB0eU1hcGkiOnRydWUsIlYiOiIwLjAuMDAwMCIsIlAiOiJXaW4zMiIsIkFOIjoiTWFpbCIsIldUIjoyfQ%3D%3D%7C80000%7C%7C%7C&amp;sdata=s8LtbHkPwaHnELMfFP2UvxL5aIOoTNFz5qVWTaIcd9U%3D&amp;reserved=0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eur03.safelinks.protection.outlook.com/?url=https%3A%2F%2Fwww.word2025.com%2F%23%2Fagenda%3Fday%3D1%26lang%3Den&amp;data=05%7C02%7Caw2086%40universityofcambridgecloud.onmicrosoft.com%7C0ee9e031971249863e4d08dd1dd73af1%7C49a50445bdfa4b79ade3547b4f3986e9%7C1%7C0%7C638699534520084616%7CUnknown%7CTWFpbGZsb3d8eyJFbXB0eU1hcGkiOnRydWUsIlYiOiIwLjAuMDAwMCIsIlAiOiJXaW4zMiIsIkFOIjoiTWFpbCIsIldUIjoyfQ%3D%3D%7C80000%7C%7C%7C&amp;sdata=Yn2Spp7%2B%2Fl%2Fz8hiDiulq2HH4%2BCztbI%2FvVvmX1j%2FEdqg%3D&amp;reserved=0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eur03.safelinks.protection.outlook.com/?url=https%3A%2F%2Fwww.word2025.com%2F%23%2Fagenda&amp;data=05%7C02%7Caw2086%40universityofcambridgecloud.onmicrosoft.com%7C0ee9e031971249863e4d08dd1dd73af1%7C49a50445bdfa4b79ade3547b4f3986e9%7C1%7C0%7C638699534520069834%7CUnknown%7CTWFpbGZsb3d8eyJFbXB0eU1hcGkiOnRydWUsIlYiOiIwLjAuMDAwMCIsIlAiOiJXaW4zMiIsIkFOIjoiTWFpbCIsIldUIjoyfQ%3D%3D%7C80000%7C%7C%7C&amp;sdata=%2BABHarU7Qi2zBScCleZw5WW22ZZHBSVf5cLrUmFSP8Y%3D&amp;reserved=0" TargetMode="External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blue.cam.ac.uk\group\Faculties%20Offices%20and%20Schools\University%20Biomedical%20Support%20Services\Home%20Office%20Licensing\Project%20Licences\Standard%20Condition%2018\SC18\SC18%20trend%20charts\SC18%20Trends%202024%20CURRENT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blue.cam.ac.uk\group\Faculties%20Offices%20and%20Schools\University%20Biomedical%20Support%20Services\Home%20Office%20Licensing\Project%20Licences\Standard%20Condition%2018\SC18\SC18%20trend%20charts\SC18%20Trends%202024%20CURRENT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[SC18 Trends 2024 CURRENT.xlsx]Charts 24!SC18 reports and animal numbers</c:name>
    <c:fmtId val="48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cap="all" spc="5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Number</a:t>
            </a:r>
            <a:r>
              <a:rPr lang="en-GB" baseline="0"/>
              <a:t> of Animals and sc18 reports </a:t>
            </a:r>
          </a:p>
          <a:p>
            <a:pPr>
              <a:defRPr/>
            </a:pPr>
            <a:r>
              <a:rPr lang="en-GB" baseline="0"/>
              <a:t>Nov 2023 to mid Dec 2024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cap="all" spc="5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5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6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7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0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1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2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3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1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2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3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4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5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6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7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8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49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0"/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pPr>
            <a:gradFill>
              <a:gsLst>
                <a:gs pos="0">
                  <a:schemeClr val="accent1"/>
                </a:gs>
                <a:gs pos="46000">
                  <a:schemeClr val="accent1"/>
                </a:gs>
                <a:gs pos="100000">
                  <a:schemeClr val="accent1">
                    <a:lumMod val="20000"/>
                    <a:lumOff val="80000"/>
                    <a:alpha val="0"/>
                  </a:schemeClr>
                </a:gs>
              </a:gsLst>
              <a:path path="circle">
                <a:fillToRect l="50000" t="-80000" r="50000" b="180000"/>
              </a:path>
            </a:gradFill>
            <a:ln w="9525" cap="flat" cmpd="sng" algn="ctr">
              <a:solidFill>
                <a:schemeClr val="accent1">
                  <a:shade val="95000"/>
                </a:schemeClr>
              </a:solidFill>
              <a:round/>
            </a:ln>
            <a:effectLst/>
          </c:spPr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2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3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4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2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2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3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4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5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6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7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8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39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6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0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0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2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3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4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0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5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6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7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inBase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8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19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0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1"/>
        <c:spPr>
          <a:solidFill>
            <a:schemeClr val="accent1">
              <a:alpha val="70000"/>
            </a:schemeClr>
          </a:solidFill>
          <a:ln>
            <a:noFill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outEnd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422"/>
        <c:spPr>
          <a:solidFill>
            <a:schemeClr val="accent1">
              <a:alpha val="70000"/>
            </a:schemeClr>
          </a:solidFill>
          <a:ln w="28575" cap="rnd">
            <a:solidFill>
              <a:schemeClr val="accent1"/>
            </a:solidFill>
            <a:round/>
          </a:ln>
          <a:effectLst/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tx1">
                      <a:lumMod val="75000"/>
                      <a:lumOff val="2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</c:pivotFmts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'Charts 24'!$B$1</c:f>
              <c:strCache>
                <c:ptCount val="1"/>
                <c:pt idx="0">
                  <c:v># of Reports</c:v>
                </c:pt>
              </c:strCache>
            </c:strRef>
          </c:tx>
          <c:spPr>
            <a:solidFill>
              <a:schemeClr val="accent1">
                <a:alpha val="70000"/>
              </a:schemeClr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out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'Charts 24'!$A$2:$A$28</c:f>
              <c:multiLvlStrCache>
                <c:ptCount val="24"/>
                <c:lvl>
                  <c:pt idx="0">
                    <c:v>Jan</c:v>
                  </c:pt>
                  <c:pt idx="1">
                    <c:v>Feb</c:v>
                  </c:pt>
                  <c:pt idx="2">
                    <c:v>Mar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</c:v>
                  </c:pt>
                  <c:pt idx="9">
                    <c:v>Oct</c:v>
                  </c:pt>
                  <c:pt idx="10">
                    <c:v>Nov</c:v>
                  </c:pt>
                  <c:pt idx="11">
                    <c:v>Dec</c:v>
                  </c:pt>
                  <c:pt idx="12">
                    <c:v>Jan</c:v>
                  </c:pt>
                  <c:pt idx="13">
                    <c:v>Feb</c:v>
                  </c:pt>
                  <c:pt idx="14">
                    <c:v>Mar</c:v>
                  </c:pt>
                  <c:pt idx="15">
                    <c:v>Apr</c:v>
                  </c:pt>
                  <c:pt idx="16">
                    <c:v>May</c:v>
                  </c:pt>
                  <c:pt idx="17">
                    <c:v>Jun</c:v>
                  </c:pt>
                  <c:pt idx="18">
                    <c:v>Jul</c:v>
                  </c:pt>
                  <c:pt idx="19">
                    <c:v>Aug</c:v>
                  </c:pt>
                  <c:pt idx="20">
                    <c:v>Sep</c:v>
                  </c:pt>
                  <c:pt idx="21">
                    <c:v>Oct</c:v>
                  </c:pt>
                  <c:pt idx="22">
                    <c:v>Nov</c:v>
                  </c:pt>
                  <c:pt idx="23">
                    <c:v>Dec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'Charts 24'!$B$2:$B$28</c:f>
              <c:numCache>
                <c:formatCode>General</c:formatCode>
                <c:ptCount val="24"/>
                <c:pt idx="0">
                  <c:v>22</c:v>
                </c:pt>
                <c:pt idx="1">
                  <c:v>36</c:v>
                </c:pt>
                <c:pt idx="2">
                  <c:v>38</c:v>
                </c:pt>
                <c:pt idx="3">
                  <c:v>36</c:v>
                </c:pt>
                <c:pt idx="4">
                  <c:v>33</c:v>
                </c:pt>
                <c:pt idx="5">
                  <c:v>51</c:v>
                </c:pt>
                <c:pt idx="6">
                  <c:v>58</c:v>
                </c:pt>
                <c:pt idx="7">
                  <c:v>38</c:v>
                </c:pt>
                <c:pt idx="8">
                  <c:v>42</c:v>
                </c:pt>
                <c:pt idx="9">
                  <c:v>51</c:v>
                </c:pt>
                <c:pt idx="10">
                  <c:v>32</c:v>
                </c:pt>
                <c:pt idx="11">
                  <c:v>20</c:v>
                </c:pt>
                <c:pt idx="12">
                  <c:v>28</c:v>
                </c:pt>
                <c:pt idx="13">
                  <c:v>29</c:v>
                </c:pt>
                <c:pt idx="14">
                  <c:v>53</c:v>
                </c:pt>
                <c:pt idx="15">
                  <c:v>24</c:v>
                </c:pt>
                <c:pt idx="16">
                  <c:v>37</c:v>
                </c:pt>
                <c:pt idx="17">
                  <c:v>21</c:v>
                </c:pt>
                <c:pt idx="18">
                  <c:v>21</c:v>
                </c:pt>
                <c:pt idx="19">
                  <c:v>24</c:v>
                </c:pt>
                <c:pt idx="20">
                  <c:v>32</c:v>
                </c:pt>
                <c:pt idx="21">
                  <c:v>38</c:v>
                </c:pt>
                <c:pt idx="22">
                  <c:v>29</c:v>
                </c:pt>
                <c:pt idx="23">
                  <c:v>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A0-462D-A38B-B03B0E719EC9}"/>
            </c:ext>
          </c:extLst>
        </c:ser>
        <c:dLbls>
          <c:dLblPos val="inBase"/>
          <c:showLegendKey val="0"/>
          <c:showVal val="1"/>
          <c:showCatName val="0"/>
          <c:showSerName val="0"/>
          <c:showPercent val="0"/>
          <c:showBubbleSize val="0"/>
        </c:dLbls>
        <c:gapWidth val="50"/>
        <c:axId val="1018568512"/>
        <c:axId val="1010835424"/>
      </c:barChart>
      <c:lineChart>
        <c:grouping val="standard"/>
        <c:varyColors val="0"/>
        <c:ser>
          <c:idx val="1"/>
          <c:order val="1"/>
          <c:tx>
            <c:strRef>
              <c:f>'Charts 24'!$C$1</c:f>
              <c:strCache>
                <c:ptCount val="1"/>
                <c:pt idx="0">
                  <c:v># of Animals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multiLvlStrRef>
              <c:f>'Charts 24'!$A$2:$A$28</c:f>
              <c:multiLvlStrCache>
                <c:ptCount val="24"/>
                <c:lvl>
                  <c:pt idx="0">
                    <c:v>Jan</c:v>
                  </c:pt>
                  <c:pt idx="1">
                    <c:v>Feb</c:v>
                  </c:pt>
                  <c:pt idx="2">
                    <c:v>Mar</c:v>
                  </c:pt>
                  <c:pt idx="3">
                    <c:v>Apr</c:v>
                  </c:pt>
                  <c:pt idx="4">
                    <c:v>May</c:v>
                  </c:pt>
                  <c:pt idx="5">
                    <c:v>Jun</c:v>
                  </c:pt>
                  <c:pt idx="6">
                    <c:v>Jul</c:v>
                  </c:pt>
                  <c:pt idx="7">
                    <c:v>Aug</c:v>
                  </c:pt>
                  <c:pt idx="8">
                    <c:v>Sep</c:v>
                  </c:pt>
                  <c:pt idx="9">
                    <c:v>Oct</c:v>
                  </c:pt>
                  <c:pt idx="10">
                    <c:v>Nov</c:v>
                  </c:pt>
                  <c:pt idx="11">
                    <c:v>Dec</c:v>
                  </c:pt>
                  <c:pt idx="12">
                    <c:v>Jan</c:v>
                  </c:pt>
                  <c:pt idx="13">
                    <c:v>Feb</c:v>
                  </c:pt>
                  <c:pt idx="14">
                    <c:v>Mar</c:v>
                  </c:pt>
                  <c:pt idx="15">
                    <c:v>Apr</c:v>
                  </c:pt>
                  <c:pt idx="16">
                    <c:v>May</c:v>
                  </c:pt>
                  <c:pt idx="17">
                    <c:v>Jun</c:v>
                  </c:pt>
                  <c:pt idx="18">
                    <c:v>Jul</c:v>
                  </c:pt>
                  <c:pt idx="19">
                    <c:v>Aug</c:v>
                  </c:pt>
                  <c:pt idx="20">
                    <c:v>Sep</c:v>
                  </c:pt>
                  <c:pt idx="21">
                    <c:v>Oct</c:v>
                  </c:pt>
                  <c:pt idx="22">
                    <c:v>Nov</c:v>
                  </c:pt>
                  <c:pt idx="23">
                    <c:v>Dec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'Charts 24'!$C$2:$C$28</c:f>
              <c:numCache>
                <c:formatCode>General</c:formatCode>
                <c:ptCount val="24"/>
                <c:pt idx="0">
                  <c:v>66</c:v>
                </c:pt>
                <c:pt idx="1">
                  <c:v>188</c:v>
                </c:pt>
                <c:pt idx="2">
                  <c:v>50</c:v>
                </c:pt>
                <c:pt idx="3">
                  <c:v>63</c:v>
                </c:pt>
                <c:pt idx="4">
                  <c:v>52</c:v>
                </c:pt>
                <c:pt idx="5">
                  <c:v>80</c:v>
                </c:pt>
                <c:pt idx="6">
                  <c:v>185</c:v>
                </c:pt>
                <c:pt idx="7">
                  <c:v>55</c:v>
                </c:pt>
                <c:pt idx="8">
                  <c:v>109</c:v>
                </c:pt>
                <c:pt idx="9">
                  <c:v>100</c:v>
                </c:pt>
                <c:pt idx="10">
                  <c:v>86</c:v>
                </c:pt>
                <c:pt idx="11">
                  <c:v>29</c:v>
                </c:pt>
                <c:pt idx="12">
                  <c:v>38</c:v>
                </c:pt>
                <c:pt idx="13">
                  <c:v>50</c:v>
                </c:pt>
                <c:pt idx="14">
                  <c:v>887</c:v>
                </c:pt>
                <c:pt idx="15">
                  <c:v>34</c:v>
                </c:pt>
                <c:pt idx="16">
                  <c:v>116</c:v>
                </c:pt>
                <c:pt idx="17">
                  <c:v>36</c:v>
                </c:pt>
                <c:pt idx="18">
                  <c:v>24</c:v>
                </c:pt>
                <c:pt idx="19">
                  <c:v>63</c:v>
                </c:pt>
                <c:pt idx="20">
                  <c:v>68</c:v>
                </c:pt>
                <c:pt idx="21">
                  <c:v>108</c:v>
                </c:pt>
                <c:pt idx="22">
                  <c:v>55</c:v>
                </c:pt>
                <c:pt idx="23">
                  <c:v>28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BBA0-462D-A38B-B03B0E719E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488983232"/>
        <c:axId val="476561696"/>
      </c:lineChart>
      <c:catAx>
        <c:axId val="10185685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  <a:headEnd type="none" w="sm" len="sm"/>
            <a:tailEnd type="none" w="sm" len="sm"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0835424"/>
        <c:crosses val="autoZero"/>
        <c:auto val="1"/>
        <c:lblAlgn val="ctr"/>
        <c:lblOffset val="100"/>
        <c:noMultiLvlLbl val="0"/>
      </c:catAx>
      <c:valAx>
        <c:axId val="1010835424"/>
        <c:scaling>
          <c:orientation val="minMax"/>
        </c:scaling>
        <c:delete val="0"/>
        <c:axPos val="l"/>
        <c:majorGridlines>
          <c:spPr>
            <a:ln w="9525" cap="flat" cmpd="sng" algn="ctr">
              <a:gradFill>
                <a:gsLst>
                  <a:gs pos="0">
                    <a:schemeClr val="tx1">
                      <a:lumMod val="5000"/>
                      <a:lumOff val="95000"/>
                    </a:schemeClr>
                  </a:gs>
                  <a:gs pos="100000">
                    <a:schemeClr val="tx1">
                      <a:lumMod val="15000"/>
                      <a:lumOff val="85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018568512"/>
        <c:crosses val="autoZero"/>
        <c:crossBetween val="between"/>
      </c:valAx>
      <c:valAx>
        <c:axId val="476561696"/>
        <c:scaling>
          <c:orientation val="minMax"/>
        </c:scaling>
        <c:delete val="0"/>
        <c:axPos val="r"/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488983232"/>
        <c:crosses val="max"/>
        <c:crossBetween val="between"/>
      </c:valAx>
      <c:catAx>
        <c:axId val="488983232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476561696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pivotSource>
    <c:name>[SC18 Trends 2024 CURRENT.xlsx]Pie Clinical signs!PivotTable2</c:name>
    <c:fmtId val="34"/>
  </c:pivotSource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spc="100" baseline="0">
                <a:solidFill>
                  <a:schemeClr val="lt1">
                    <a:lumMod val="95000"/>
                  </a:schemeClr>
                </a:solidFill>
                <a:effectLst>
                  <a:outerShdw blurRad="50800" dist="38100" dir="5400000" algn="t" rotWithShape="0">
                    <a:prstClr val="black">
                      <a:alpha val="40000"/>
                    </a:prstClr>
                  </a:outerShdw>
                </a:effectLst>
                <a:latin typeface="+mn-lt"/>
                <a:ea typeface="+mn-ea"/>
                <a:cs typeface="+mn-cs"/>
              </a:defRPr>
            </a:pPr>
            <a:r>
              <a:rPr lang="en-US"/>
              <a:t>   28 SC18s</a:t>
            </a:r>
            <a:r>
              <a:rPr lang="en-US" baseline="0"/>
              <a:t> for reporting period consisting of animals 55 </a:t>
            </a:r>
            <a:endParaRPr lang="en-US"/>
          </a:p>
        </c:rich>
      </c:tx>
      <c:layout>
        <c:manualLayout>
          <c:xMode val="edge"/>
          <c:yMode val="edge"/>
          <c:x val="0.16767106400454979"/>
          <c:y val="7.3972819394706221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spc="100" baseline="0">
              <a:solidFill>
                <a:schemeClr val="lt1">
                  <a:lumMod val="95000"/>
                </a:schemeClr>
              </a:solidFill>
              <a:effectLst>
                <a:outerShdw blurRad="50800" dist="38100" dir="5400000" algn="t" rotWithShape="0">
                  <a:prstClr val="black">
                    <a:alpha val="40000"/>
                  </a:prstClr>
                </a:outerShdw>
              </a:effectLst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ivotFmts>
      <c:pivotFmt>
        <c:idx val="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2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3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4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5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6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7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8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8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  <c:marker>
          <c:symbol val="none"/>
        </c:marker>
        <c:dLbl>
          <c:idx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lIns="38100" tIns="19050" rIns="38100" bIns="19050" anchor="ctr" anchorCtr="1">
              <a:spAutoFit/>
            </a:bodyPr>
            <a:lstStyle/>
            <a:p>
              <a:pPr>
                <a:defRPr sz="900" b="0" i="0" u="none" strike="noStrike" kern="1200" baseline="0">
                  <a:solidFill>
                    <a:schemeClr val="lt1">
                      <a:lumMod val="8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  <c:dLblPos val="bestFit"/>
          <c:showLegendKey val="0"/>
          <c:showVal val="1"/>
          <c:showCatName val="0"/>
          <c:showSerName val="0"/>
          <c:showPercent val="0"/>
          <c:showBubbleSize val="0"/>
          <c:extLst>
            <c:ext xmlns:c15="http://schemas.microsoft.com/office/drawing/2012/chart" uri="{CE6537A1-D6FC-4f65-9D91-7224C49458BB}"/>
          </c:extLst>
        </c:dLbl>
      </c:pivotFmt>
      <c:pivotFmt>
        <c:idx val="9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6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7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8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99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0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1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2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3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4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  <c:pivotFmt>
        <c:idx val="105"/>
        <c:spPr>
          <a:gradFill rotWithShape="1">
            <a:gsLst>
              <a:gs pos="0">
                <a:schemeClr val="accent1">
                  <a:satMod val="103000"/>
                  <a:lumMod val="102000"/>
                  <a:tint val="94000"/>
                </a:schemeClr>
              </a:gs>
              <a:gs pos="50000">
                <a:schemeClr val="accent1">
                  <a:satMod val="110000"/>
                  <a:lumMod val="100000"/>
                  <a:shade val="100000"/>
                </a:schemeClr>
              </a:gs>
              <a:gs pos="100000">
                <a:schemeClr val="accent1">
                  <a:lumMod val="99000"/>
                  <a:satMod val="120000"/>
                  <a:shade val="78000"/>
                </a:schemeClr>
              </a:gs>
            </a:gsLst>
            <a:lin ang="5400000" scaled="0"/>
          </a:gradFill>
          <a:ln>
            <a:noFill/>
          </a:ln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c:spPr>
      </c:pivotFmt>
    </c:pivotFmts>
    <c:plotArea>
      <c:layout/>
      <c:pieChart>
        <c:varyColors val="1"/>
        <c:ser>
          <c:idx val="0"/>
          <c:order val="0"/>
          <c:tx>
            <c:strRef>
              <c:f>'Pie Clinical signs'!$B$3</c:f>
              <c:strCache>
                <c:ptCount val="1"/>
                <c:pt idx="0">
                  <c:v>Total</c:v>
                </c:pt>
              </c:strCache>
            </c:strRef>
          </c:tx>
          <c:dPt>
            <c:idx val="0"/>
            <c:bubble3D val="0"/>
            <c:spPr>
              <a:gradFill rotWithShape="1">
                <a:gsLst>
                  <a:gs pos="0">
                    <a:schemeClr val="accent1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1-7190-4E4E-AF6F-6BA908449D67}"/>
              </c:ext>
            </c:extLst>
          </c:dPt>
          <c:dPt>
            <c:idx val="1"/>
            <c:bubble3D val="0"/>
            <c:spPr>
              <a:gradFill rotWithShape="1">
                <a:gsLst>
                  <a:gs pos="0">
                    <a:schemeClr val="accent2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3-7190-4E4E-AF6F-6BA908449D67}"/>
              </c:ext>
            </c:extLst>
          </c:dPt>
          <c:dPt>
            <c:idx val="2"/>
            <c:bubble3D val="0"/>
            <c:spPr>
              <a:gradFill rotWithShape="1">
                <a:gsLst>
                  <a:gs pos="0">
                    <a:schemeClr val="accent3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5-7190-4E4E-AF6F-6BA908449D67}"/>
              </c:ext>
            </c:extLst>
          </c:dPt>
          <c:dPt>
            <c:idx val="3"/>
            <c:bubble3D val="0"/>
            <c:spPr>
              <a:gradFill rotWithShape="1">
                <a:gsLst>
                  <a:gs pos="0">
                    <a:schemeClr val="accent4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7-7190-4E4E-AF6F-6BA908449D67}"/>
              </c:ext>
            </c:extLst>
          </c:dPt>
          <c:dPt>
            <c:idx val="4"/>
            <c:bubble3D val="0"/>
            <c:spPr>
              <a:gradFill rotWithShape="1">
                <a:gsLst>
                  <a:gs pos="0">
                    <a:schemeClr val="accent5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9-7190-4E4E-AF6F-6BA908449D67}"/>
              </c:ext>
            </c:extLst>
          </c:dPt>
          <c:dPt>
            <c:idx val="5"/>
            <c:bubble3D val="0"/>
            <c:spPr>
              <a:gradFill rotWithShape="1">
                <a:gsLst>
                  <a:gs pos="0">
                    <a:schemeClr val="accent6"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B-7190-4E4E-AF6F-6BA908449D67}"/>
              </c:ext>
            </c:extLst>
          </c:dPt>
          <c:dPt>
            <c:idx val="6"/>
            <c:bubble3D val="0"/>
            <c:spPr>
              <a:gradFill rotWithShape="1">
                <a:gsLst>
                  <a:gs pos="0">
                    <a:schemeClr val="accent1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D-7190-4E4E-AF6F-6BA908449D67}"/>
              </c:ext>
            </c:extLst>
          </c:dPt>
          <c:dPt>
            <c:idx val="7"/>
            <c:bubble3D val="0"/>
            <c:spPr>
              <a:gradFill rotWithShape="1">
                <a:gsLst>
                  <a:gs pos="0">
                    <a:schemeClr val="accent2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2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2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0F-7190-4E4E-AF6F-6BA908449D67}"/>
              </c:ext>
            </c:extLst>
          </c:dPt>
          <c:dPt>
            <c:idx val="8"/>
            <c:bubble3D val="0"/>
            <c:spPr>
              <a:gradFill rotWithShape="1">
                <a:gsLst>
                  <a:gs pos="0">
                    <a:schemeClr val="accent3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3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3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1-7190-4E4E-AF6F-6BA908449D67}"/>
              </c:ext>
            </c:extLst>
          </c:dPt>
          <c:dPt>
            <c:idx val="9"/>
            <c:bubble3D val="0"/>
            <c:spPr>
              <a:gradFill rotWithShape="1">
                <a:gsLst>
                  <a:gs pos="0">
                    <a:schemeClr val="accent4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4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4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3-7190-4E4E-AF6F-6BA908449D67}"/>
              </c:ext>
            </c:extLst>
          </c:dPt>
          <c:dPt>
            <c:idx val="10"/>
            <c:bubble3D val="0"/>
            <c:spPr>
              <a:gradFill rotWithShape="1">
                <a:gsLst>
                  <a:gs pos="0">
                    <a:schemeClr val="accent5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5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5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5-7190-4E4E-AF6F-6BA908449D67}"/>
              </c:ext>
            </c:extLst>
          </c:dPt>
          <c:dPt>
            <c:idx val="11"/>
            <c:bubble3D val="0"/>
            <c:spPr>
              <a:gradFill rotWithShape="1">
                <a:gsLst>
                  <a:gs pos="0">
                    <a:schemeClr val="accent6">
                      <a:lumMod val="6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6">
                      <a:lumMod val="6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6">
                      <a:lumMod val="6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7-7190-4E4E-AF6F-6BA908449D67}"/>
              </c:ext>
            </c:extLst>
          </c:dPt>
          <c:dPt>
            <c:idx val="12"/>
            <c:bubble3D val="0"/>
            <c:spPr>
              <a:gradFill rotWithShape="1">
                <a:gsLst>
                  <a:gs pos="0">
                    <a:schemeClr val="accent1">
                      <a:lumMod val="80000"/>
                      <a:lumOff val="20000"/>
                      <a:satMod val="103000"/>
                      <a:lumMod val="102000"/>
                      <a:tint val="94000"/>
                    </a:schemeClr>
                  </a:gs>
                  <a:gs pos="50000">
                    <a:schemeClr val="accent1">
                      <a:lumMod val="80000"/>
                      <a:lumOff val="20000"/>
                      <a:satMod val="110000"/>
                      <a:lumMod val="100000"/>
                      <a:shade val="100000"/>
                    </a:schemeClr>
                  </a:gs>
                  <a:gs pos="100000">
                    <a:schemeClr val="accent1">
                      <a:lumMod val="80000"/>
                      <a:lumOff val="20000"/>
                      <a:lumMod val="99000"/>
                      <a:satMod val="120000"/>
                      <a:shade val="78000"/>
                    </a:schemeClr>
                  </a:gs>
                </a:gsLst>
                <a:lin ang="5400000" scaled="0"/>
              </a:gradFill>
              <a:ln>
                <a:noFill/>
              </a:ln>
              <a:effectLst>
                <a:outerShdw blurRad="57150" dist="19050" dir="5400000" algn="ctr" rotWithShape="0">
                  <a:srgbClr val="000000">
                    <a:alpha val="63000"/>
                  </a:srgbClr>
                </a:outerShdw>
              </a:effectLst>
            </c:spPr>
            <c:extLst>
              <c:ext xmlns:c16="http://schemas.microsoft.com/office/drawing/2014/chart" uri="{C3380CC4-5D6E-409C-BE32-E72D297353CC}">
                <c16:uniqueId val="{00000019-7190-4E4E-AF6F-6BA908449D67}"/>
              </c:ext>
            </c:extLst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lt1">
                        <a:lumMod val="8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>
                  <a:solidFill>
                    <a:schemeClr val="lt1">
                      <a:lumMod val="95000"/>
                      <a:alpha val="54000"/>
                    </a:schemeClr>
                  </a:solidFill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multiLvlStrRef>
              <c:f>'Pie Clinical signs'!$A$4:$A$28</c:f>
              <c:multiLvlStrCache>
                <c:ptCount val="12"/>
                <c:lvl>
                  <c:pt idx="0">
                    <c:v>November</c:v>
                  </c:pt>
                  <c:pt idx="1">
                    <c:v>November</c:v>
                  </c:pt>
                  <c:pt idx="2">
                    <c:v>November</c:v>
                  </c:pt>
                  <c:pt idx="3">
                    <c:v>November</c:v>
                  </c:pt>
                  <c:pt idx="4">
                    <c:v>November</c:v>
                  </c:pt>
                  <c:pt idx="5">
                    <c:v>November</c:v>
                  </c:pt>
                  <c:pt idx="6">
                    <c:v>November</c:v>
                  </c:pt>
                  <c:pt idx="7">
                    <c:v>November</c:v>
                  </c:pt>
                  <c:pt idx="8">
                    <c:v>November</c:v>
                  </c:pt>
                  <c:pt idx="9">
                    <c:v>November</c:v>
                  </c:pt>
                  <c:pt idx="10">
                    <c:v>November</c:v>
                  </c:pt>
                  <c:pt idx="11">
                    <c:v>November</c:v>
                  </c:pt>
                </c:lvl>
                <c:lvl>
                  <c:pt idx="0">
                    <c:v>Unexpected adverse effect</c:v>
                  </c:pt>
                  <c:pt idx="1">
                    <c:v>Anaesthetic</c:v>
                  </c:pt>
                  <c:pt idx="2">
                    <c:v>KAR</c:v>
                  </c:pt>
                  <c:pt idx="3">
                    <c:v>Unknown/FD</c:v>
                  </c:pt>
                  <c:pt idx="4">
                    <c:v>Breathing/tremble/pilo</c:v>
                  </c:pt>
                  <c:pt idx="5">
                    <c:v>Mis-dose</c:v>
                  </c:pt>
                  <c:pt idx="6">
                    <c:v>Other</c:v>
                  </c:pt>
                  <c:pt idx="7">
                    <c:v>Fighting</c:v>
                  </c:pt>
                  <c:pt idx="8">
                    <c:v>Human Error</c:v>
                  </c:pt>
                  <c:pt idx="9">
                    <c:v>wound</c:v>
                  </c:pt>
                  <c:pt idx="10">
                    <c:v>Weight loss</c:v>
                  </c:pt>
                  <c:pt idx="11">
                    <c:v>Head cap issue</c:v>
                  </c:pt>
                </c:lvl>
              </c:multiLvlStrCache>
            </c:multiLvlStrRef>
          </c:cat>
          <c:val>
            <c:numRef>
              <c:f>'Pie Clinical signs'!$B$4:$B$28</c:f>
              <c:numCache>
                <c:formatCode>General</c:formatCode>
                <c:ptCount val="12"/>
                <c:pt idx="0">
                  <c:v>21</c:v>
                </c:pt>
                <c:pt idx="1">
                  <c:v>6</c:v>
                </c:pt>
                <c:pt idx="2">
                  <c:v>6</c:v>
                </c:pt>
                <c:pt idx="3">
                  <c:v>6</c:v>
                </c:pt>
                <c:pt idx="4">
                  <c:v>3</c:v>
                </c:pt>
                <c:pt idx="5">
                  <c:v>3</c:v>
                </c:pt>
                <c:pt idx="6">
                  <c:v>3</c:v>
                </c:pt>
                <c:pt idx="7">
                  <c:v>2</c:v>
                </c:pt>
                <c:pt idx="8">
                  <c:v>2</c:v>
                </c:pt>
                <c:pt idx="9">
                  <c:v>1</c:v>
                </c:pt>
                <c:pt idx="10">
                  <c:v>1</c:v>
                </c:pt>
                <c:pt idx="11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1A-7190-4E4E-AF6F-6BA908449D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lt1">
                  <a:lumMod val="8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gradFill flip="none" rotWithShape="1">
      <a:gsLst>
        <a:gs pos="0">
          <a:schemeClr val="dk1">
            <a:lumMod val="65000"/>
            <a:lumOff val="35000"/>
          </a:schemeClr>
        </a:gs>
        <a:gs pos="100000">
          <a:schemeClr val="dk1">
            <a:lumMod val="85000"/>
            <a:lumOff val="15000"/>
          </a:schemeClr>
        </a:gs>
      </a:gsLst>
      <a:path path="circle">
        <a:fillToRect l="50000" t="50000" r="50000" b="50000"/>
      </a:path>
      <a:tileRect/>
    </a:gradFill>
    <a:ln>
      <a:noFill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extLst>
    <c:ext xmlns:c14="http://schemas.microsoft.com/office/drawing/2007/8/2/chart" uri="{781A3756-C4B2-4CAC-9D66-4F8BD8637D16}">
      <c14:pivotOptions>
        <c14:dropZoneFilter val="1"/>
        <c14:dropZoneCategories val="1"/>
        <c14:dropZoneData val="1"/>
        <c14:dropZoneSeries val="1"/>
        <c14:dropZonesVisible val="1"/>
      </c14:pivotOptions>
    </c:ext>
    <c:ext xmlns:c16="http://schemas.microsoft.com/office/drawing/2014/chart" uri="{E28EC0CA-F0BB-4C9C-879D-F8772B89E7AC}">
      <c16:pivotOptions16>
        <c16:showExpandCollapseFieldButtons val="1"/>
      </c16:pivotOptions16>
    </c:ext>
  </c:extLst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05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  <a:headEnd type="none" w="sm" len="sm"/>
        <a:tailEnd type="none" w="sm" len="sm"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dk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bg1"/>
    </cs:fontRef>
    <cs:spPr>
      <a:solidFill>
        <a:schemeClr val="tx1">
          <a:lumMod val="50000"/>
          <a:lumOff val="50000"/>
        </a:schemeClr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>
          <a:alpha val="70000"/>
        </a:schemeClr>
      </a:solidFill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0">
      <cs:styleClr val="auto"/>
    </cs:fillRef>
    <cs:effectRef idx="0"/>
    <cs:fontRef idx="minor">
      <a:schemeClr val="dk1"/>
    </cs:fontRef>
    <cs:spPr>
      <a:gradFill>
        <a:gsLst>
          <a:gs pos="0">
            <a:schemeClr val="phClr"/>
          </a:gs>
          <a:gs pos="46000">
            <a:schemeClr val="phClr"/>
          </a:gs>
          <a:gs pos="100000">
            <a:schemeClr val="phClr">
              <a:lumMod val="20000"/>
              <a:lumOff val="80000"/>
              <a:alpha val="0"/>
            </a:schemeClr>
          </a:gs>
        </a:gsLst>
        <a:path path="circle">
          <a:fillToRect l="50000" t="-80000" r="50000" b="180000"/>
        </a:path>
      </a:gradFill>
      <a:ln w="9525" cap="flat" cmpd="sng" algn="ctr">
        <a:solidFill>
          <a:schemeClr val="phClr">
            <a:shade val="95000"/>
          </a:schemeClr>
        </a:solidFill>
        <a:round/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75000"/>
          <a:lumOff val="2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dropLine>
  <cs:errorBar>
    <cs:lnRef idx="0"/>
    <cs:fillRef idx="0"/>
    <cs:effectRef idx="0"/>
    <cs:fontRef idx="minor">
      <a:schemeClr val="dk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0">
              <a:schemeClr val="tx1">
                <a:lumMod val="5000"/>
                <a:lumOff val="95000"/>
              </a:schemeClr>
            </a:gs>
            <a:gs pos="100000">
              <a:schemeClr val="tx1">
                <a:lumMod val="15000"/>
                <a:lumOff val="85000"/>
              </a:schemeClr>
            </a:gs>
          </a:gsLst>
          <a:lin ang="5400000" scaled="0"/>
        </a:gradFill>
        <a:round/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50000"/>
            <a:lumOff val="50000"/>
          </a:schemeClr>
        </a:solidFill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  <a:headEnd type="none" w="sm" len="sm"/>
        <a:tailEnd type="none" w="sm" len="sm"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800" b="1" kern="1200" cap="all" spc="5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7">
  <cs:axisTitle>
    <cs:lnRef idx="0"/>
    <cs:fillRef idx="0"/>
    <cs:effectRef idx="0"/>
    <cs:fontRef idx="minor">
      <a:schemeClr val="lt1">
        <a:lumMod val="85000"/>
      </a:schemeClr>
    </cs:fontRef>
    <cs:defRPr sz="900" b="1" kern="1200" cap="all"/>
  </cs:axisTitle>
  <cs:category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dk1">
              <a:lumMod val="65000"/>
              <a:lumOff val="35000"/>
            </a:schemeClr>
          </a:gs>
          <a:gs pos="100000">
            <a:schemeClr val="dk1">
              <a:lumMod val="85000"/>
              <a:lumOff val="15000"/>
            </a:schemeClr>
          </a:gs>
        </a:gsLst>
        <a:path path="circle">
          <a:fillToRect l="50000" t="50000" r="50000" b="50000"/>
        </a:path>
        <a:tileRect/>
      </a:gradFill>
    </cs:spPr>
    <cs:defRPr sz="1000" kern="1200"/>
  </cs:chartArea>
  <cs:dataLabel>
    <cs:lnRef idx="0"/>
    <cs:fillRef idx="0"/>
    <cs:effectRef idx="0"/>
    <cs:fontRef idx="minor">
      <a:schemeClr val="lt1">
        <a:lumMod val="8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3"/>
    <cs:fontRef idx="minor">
      <a:schemeClr val="tx1"/>
    </cs:fontRef>
  </cs:dataPoint>
  <cs:dataPoint3D>
    <cs:lnRef idx="0"/>
    <cs:fillRef idx="3">
      <cs:styleClr val="auto"/>
    </cs:fillRef>
    <cs:effectRef idx="3"/>
    <cs:fontRef idx="minor">
      <a:schemeClr val="tx1"/>
    </cs:fontRef>
  </cs:dataPoint3D>
  <cs:dataPointLine>
    <cs:lnRef idx="0">
      <cs:styleClr val="auto"/>
    </cs:lnRef>
    <cs:fillRef idx="3"/>
    <cs:effectRef idx="3"/>
    <cs:fontRef idx="minor">
      <a:schemeClr val="tx1"/>
    </cs:fontRef>
    <cs:spPr>
      <a:ln w="3492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3">
      <cs:styleClr val="auto"/>
    </cs:fillRef>
    <cs:effectRef idx="3"/>
    <cs:fontRef idx="minor">
      <a:schemeClr val="tx1"/>
    </cs:fontRef>
    <cs:spPr>
      <a:ln w="9525">
        <a:solidFill>
          <a:schemeClr val="phClr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3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lt1">
        <a:lumMod val="85000"/>
      </a:schemeClr>
    </cs:fontRef>
    <cs:spPr>
      <a:ln w="9525">
        <a:solidFill>
          <a:schemeClr val="lt1">
            <a:lumMod val="95000"/>
            <a:alpha val="54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>
        <a:solidFill>
          <a:schemeClr val="lt1">
            <a:lumMod val="95000"/>
            <a:alpha val="54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lt1">
            <a:lumMod val="95000"/>
            <a:alpha val="10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lt1">
            <a:lumMod val="95000"/>
            <a:alpha val="5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1"/>
    </cs:fontRef>
    <cs:spPr>
      <a:ln w="9525">
        <a:solidFill>
          <a:schemeClr val="lt1">
            <a:lumMod val="95000"/>
            <a:alpha val="54000"/>
          </a:schemeClr>
        </a:solidFill>
      </a:ln>
    </cs:spPr>
  </cs:leaderLine>
  <cs:legend>
    <cs:lnRef idx="0"/>
    <cs:fillRef idx="0"/>
    <cs:effectRef idx="0"/>
    <cs:fontRef idx="minor">
      <a:schemeClr val="lt1">
        <a:lumMod val="85000"/>
      </a:schemeClr>
    </cs:fontRef>
    <cs:defRPr sz="900" kern="1200"/>
  </cs:legend>
  <cs:plotArea>
    <cs:lnRef idx="0"/>
    <cs:fillRef idx="0"/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lt1">
        <a:lumMod val="85000"/>
      </a:schemeClr>
    </cs:fontRef>
    <cs:spPr>
      <a:ln w="12700" cap="flat" cmpd="sng" algn="ctr">
        <a:solidFill>
          <a:schemeClr val="lt1">
            <a:lumMod val="95000"/>
            <a:alpha val="54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lt1"/>
    </cs:fontRef>
    <cs:spPr>
      <a:ln w="9525" cap="flat" cmpd="sng" algn="ctr">
        <a:solidFill>
          <a:schemeClr val="lt1">
            <a:lumMod val="95000"/>
            <a:alpha val="54000"/>
          </a:schemeClr>
        </a:solidFill>
        <a:round/>
      </a:ln>
    </cs:spPr>
  </cs:seriesLine>
  <cs:title>
    <cs:lnRef idx="0"/>
    <cs:fillRef idx="0"/>
    <cs:effectRef idx="0"/>
    <cs:fontRef idx="minor">
      <a:schemeClr val="lt1">
        <a:lumMod val="95000"/>
      </a:schemeClr>
    </cs:fontRef>
    <cs:defRPr sz="1600" b="1" kern="1200" spc="100" baseline="0">
      <a:effectLst>
        <a:outerShdw blurRad="50800" dist="38100" dir="5400000" algn="t" rotWithShape="0">
          <a:prstClr val="black">
            <a:alpha val="40000"/>
          </a:prstClr>
        </a:outerShdw>
      </a:effectLst>
    </cs:defRPr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lt1">
        <a:lumMod val="8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>
        <a:solidFill>
          <a:schemeClr val="lt1">
            <a:lumMod val="95000"/>
            <a:alpha val="54000"/>
          </a:schemeClr>
        </a:solidFill>
      </a:ln>
    </cs:spPr>
  </cs:upBar>
  <cs:valueAxis>
    <cs:lnRef idx="0"/>
    <cs:fillRef idx="0"/>
    <cs:effectRef idx="0"/>
    <cs:fontRef idx="minor">
      <a:schemeClr val="lt1">
        <a:lumMod val="85000"/>
      </a:schemeClr>
    </cs:fontRef>
    <cs:defRPr sz="900" kern="12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b8a3ca5-10f8-447a-bdcb-fea5116a651c" xsi:nil="true"/>
    <lcf76f155ced4ddcb4097134ff3c332f xmlns="80a92bb6-b097-40ca-86f2-9f4876fb631b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4CE00EBE3F84EB9B87F04FE049BA6" ma:contentTypeVersion="17" ma:contentTypeDescription="Create a new document." ma:contentTypeScope="" ma:versionID="eeebbc1b99508f1c7404ed7d64d86200">
  <xsd:schema xmlns:xsd="http://www.w3.org/2001/XMLSchema" xmlns:xs="http://www.w3.org/2001/XMLSchema" xmlns:p="http://schemas.microsoft.com/office/2006/metadata/properties" xmlns:ns2="80a92bb6-b097-40ca-86f2-9f4876fb631b" xmlns:ns3="9b8a3ca5-10f8-447a-bdcb-fea5116a651c" targetNamespace="http://schemas.microsoft.com/office/2006/metadata/properties" ma:root="true" ma:fieldsID="fb982968bb2f1cfe5a5c51159050a196" ns2:_="" ns3:_="">
    <xsd:import namespace="80a92bb6-b097-40ca-86f2-9f4876fb631b"/>
    <xsd:import namespace="9b8a3ca5-10f8-447a-bdcb-fea5116a651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3:SharedWithDetails" minOccurs="0"/>
                <xsd:element ref="ns3:SharedWithUser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92bb6-b097-40ca-86f2-9f4876fb63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a27f011-1a9c-4bbb-bffd-f61e666ec8a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8a3ca5-10f8-447a-bdcb-fea5116a651c" elementFormDefault="qualified">
    <xsd:import namespace="http://schemas.microsoft.com/office/2006/documentManagement/types"/>
    <xsd:import namespace="http://schemas.microsoft.com/office/infopath/2007/PartnerControls"/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TaxCatchAll" ma:index="22" nillable="true" ma:displayName="Taxonomy Catch All Column" ma:hidden="true" ma:list="{9747724d-1fa5-4ead-9182-49b828c0070d}" ma:internalName="TaxCatchAll" ma:showField="CatchAllData" ma:web="9b8a3ca5-10f8-447a-bdcb-fea5116a651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E263099-BB56-4BB7-A000-1C778C2066F8}">
  <ds:schemaRefs>
    <ds:schemaRef ds:uri="http://schemas.microsoft.com/office/2006/metadata/properties"/>
    <ds:schemaRef ds:uri="http://schemas.microsoft.com/office/infopath/2007/PartnerControls"/>
    <ds:schemaRef ds:uri="9b8a3ca5-10f8-447a-bdcb-fea5116a651c"/>
    <ds:schemaRef ds:uri="80a92bb6-b097-40ca-86f2-9f4876fb631b"/>
  </ds:schemaRefs>
</ds:datastoreItem>
</file>

<file path=customXml/itemProps2.xml><?xml version="1.0" encoding="utf-8"?>
<ds:datastoreItem xmlns:ds="http://schemas.openxmlformats.org/officeDocument/2006/customXml" ds:itemID="{6F33EB9F-CA27-4CB9-90D1-E33A3FB196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BD3D349-1A3F-494C-B961-6DD0694B87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92bb6-b097-40ca-86f2-9f4876fb631b"/>
    <ds:schemaRef ds:uri="9b8a3ca5-10f8-447a-bdcb-fea5116a6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518</Words>
  <Characters>2955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Rue Jones-Green</dc:creator>
  <cp:keywords/>
  <dc:description/>
  <cp:lastModifiedBy>Alan White</cp:lastModifiedBy>
  <cp:revision>3</cp:revision>
  <dcterms:created xsi:type="dcterms:W3CDTF">2024-12-19T12:26:00Z</dcterms:created>
  <dcterms:modified xsi:type="dcterms:W3CDTF">2024-12-19T13:32:00Z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0x0101007014CE00EBE3F84EB9B87F04FE049BA6</vt:lpwstr>
  </property>
</Properties>
</file>